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7087" w:vertAnchor="page" w:tblpY="1471" w:leftFromText="180" w:topFromText="0" w:rightFromText="180" w:bottomFromText="0"/>
        <w:tblW w:w="4077" w:type="dxa"/>
        <w:tblLayout w:type="fixed"/>
        <w:tblLook w:val="04A0" w:firstRow="1" w:lastRow="0" w:firstColumn="1" w:lastColumn="0" w:noHBand="0" w:noVBand="1"/>
      </w:tblPr>
      <w:tblGrid>
        <w:gridCol w:w="4077"/>
      </w:tblGrid>
      <w:tr>
        <w:tblPrEx/>
        <w:trPr>
          <w:trHeight w:val="1134"/>
        </w:trPr>
        <w:tc>
          <w:tcPr>
            <w:tcW w:w="4077" w:type="dxa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«УТВЕРЖДЕНО»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center"/>
              <w:spacing w:after="0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На заседании закупочной комиссии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center"/>
              <w:spacing w:after="0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shd w:val="clear" w:color="ddebf6" w:themeColor="accent1" w:themeTint="33" w:fill="ddebf6" w:themeFill="accent1" w:themeFillTint="33"/>
              </w:rPr>
              <w:t xml:space="preserve">«05» июня 2026 г</w:t>
            </w:r>
            <w:r>
              <w:rPr>
                <w:color w:val="000000"/>
                <w:highlight w:val="none"/>
              </w:rPr>
              <w:t xml:space="preserve">.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</w:tc>
      </w:tr>
    </w:tbl>
    <w:p>
      <w:pPr>
        <w:pStyle w:val="15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 В ЭЛЕКТРОННОЙ ФОРМЕ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shd w:val="clear" w:color="ddebf6" w:themeColor="accent1" w:themeTint="33" w:fill="ddebf6" w:themeFill="accent1" w:themeFillTint="33"/>
        <w:rPr>
          <w:b/>
          <w:bCs/>
        </w:rPr>
      </w:pPr>
      <w:r>
        <w:rPr>
          <w:b/>
          <w:bCs/>
          <w:highlight w:val="yellow"/>
          <w:shd w:val="clear" w:color="auto" w:fill="deeaf6" w:themeFill="accent1" w:themeFillTint="33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  <w:vertAlign w:val="baseline"/>
        </w:rPr>
        <w:t xml:space="preserve">Выполнение работ, направленных на исполнение обязательств по объектам технологического присоединения к электрическим сетям  АО «Россети Янтарь» (Лот № 2.2.16р)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411"/>
        <w:jc w:val="center"/>
        <w:spacing w:after="0"/>
        <w:rPr>
          <w:b/>
          <w:bCs/>
        </w:rPr>
      </w:pPr>
      <w:r>
        <w:rPr>
          <w:b/>
          <w:bCs/>
        </w:rPr>
        <w:t xml:space="preserve">г. </w:t>
      </w:r>
      <w:r>
        <w:rPr>
          <w:b/>
        </w:rPr>
        <w:t xml:space="preserve">Калининград</w:t>
      </w:r>
      <w:r>
        <w:rPr>
          <w:bCs/>
        </w:rPr>
        <w:br/>
      </w:r>
      <w:r>
        <w:rPr>
          <w:b/>
          <w:bCs/>
        </w:rPr>
        <w:t xml:space="preserve">2026 год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1217"/>
        <w:ind w:left="567" w:firstLine="0"/>
        <w:keepNext w:val="0"/>
        <w:spacing w:before="0" w:after="0"/>
        <w:tabs>
          <w:tab w:val="clear" w:pos="432" w:leader="none"/>
        </w:tabs>
        <w:rPr>
          <w:rStyle w:val="1388"/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/>
      <w:bookmarkStart w:id="211" w:name="_Toc1"/>
      <w:r>
        <w:rPr>
          <w:rStyle w:val="1388"/>
          <w:rFonts w:ascii="Times New Roman" w:hAnsi="Times New Roman" w:cs="Times New Roman"/>
          <w:caps/>
          <w:color w:val="auto"/>
          <w:sz w:val="24"/>
          <w:szCs w:val="24"/>
        </w:rPr>
        <w:t xml:space="preserve">СОДЕРЖАНИЕ</w:t>
      </w:r>
      <w:r>
        <w:rPr>
          <w:rStyle w:val="1388"/>
          <w:rFonts w:ascii="Times New Roman" w:hAnsi="Times New Roman" w:cs="Times New Roman"/>
          <w:b w:val="0"/>
          <w:caps/>
          <w:color w:val="auto"/>
          <w:sz w:val="24"/>
          <w:szCs w:val="24"/>
        </w:rPr>
      </w:r>
      <w:bookmarkEnd w:id="211"/>
      <w:r/>
      <w:r>
        <w:rPr>
          <w:rStyle w:val="1388"/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1407"/>
        <w:tabs>
          <w:tab w:val="right" w:pos="10195" w:leader="dot"/>
        </w:tabs>
        <w:rPr>
          <w:rStyle w:val="1388"/>
          <w:rFonts w:ascii="Times New Roman" w:hAnsi="Times New Roman" w:cs="Times New Roman"/>
          <w:caps/>
        </w:rPr>
      </w:pPr>
      <w:r>
        <w:rPr>
          <w:i/>
          <w:iCs/>
          <w:smallCaps/>
          <w:sz w:val="24"/>
          <w:szCs w:val="24"/>
        </w:rPr>
        <w:fldChar w:fldCharType="begin"/>
      </w:r>
      <w:r>
        <w:rPr>
          <w:i/>
          <w:iCs/>
          <w:smallCaps/>
          <w:sz w:val="24"/>
          <w:szCs w:val="24"/>
        </w:rPr>
        <w:instrText xml:space="preserve"> TOC \o "1-2" \h \z \u </w:instrText>
      </w:r>
      <w:r>
        <w:rPr>
          <w:i/>
          <w:iCs/>
          <w:smallCaps/>
          <w:sz w:val="24"/>
          <w:szCs w:val="24"/>
        </w:rPr>
        <w:fldChar w:fldCharType="separate"/>
      </w:r>
      <w:r>
        <w:rPr>
          <w:b w:val="0"/>
          <w:i/>
          <w:smallCaps/>
          <w:sz w:val="24"/>
          <w:szCs w:val="24"/>
        </w:rPr>
      </w:r>
      <w:hyperlink w:tooltip="#_Toc1" w:anchor="_Toc1" w:history="1">
        <w:r>
          <w:rPr>
            <w:rStyle w:val="1437"/>
          </w:rPr>
        </w:r>
        <w:r>
          <w:rPr>
            <w:rStyle w:val="1437"/>
            <w:rFonts w:ascii="Times New Roman" w:hAnsi="Times New Roman" w:cs="Times New Roman"/>
            <w:caps/>
          </w:rPr>
          <w:t xml:space="preserve">СОДЕРЖАНИЕ</w:t>
        </w:r>
        <w:r>
          <w:rPr>
            <w:rStyle w:val="1437"/>
            <w:rFonts w:ascii="Times New Roman" w:hAnsi="Times New Roman" w:cs="Times New Roman"/>
            <w:caps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2</w:t>
          <w:fldChar w:fldCharType="end"/>
        </w:r>
      </w:hyperlink>
      <w:r>
        <w:rPr>
          <w:rStyle w:val="1388"/>
          <w:rFonts w:ascii="Times New Roman" w:hAnsi="Times New Roman" w:cs="Times New Roman"/>
          <w:caps/>
        </w:rPr>
      </w:r>
    </w:p>
    <w:p>
      <w:pPr>
        <w:pStyle w:val="1407"/>
        <w:tabs>
          <w:tab w:val="left" w:pos="567" w:leader="none"/>
          <w:tab w:val="right" w:pos="10195" w:leader="dot"/>
        </w:tabs>
        <w:rPr>
          <w:rStyle w:val="1388"/>
          <w:caps/>
        </w:rPr>
      </w:pPr>
      <w:hyperlink w:tooltip="#_Toc2" w:anchor="_Toc2" w:history="1">
        <w:r>
          <w:rPr>
            <w:rFonts w:ascii="Times New Roman" w:hAnsi="Times New Roman" w:eastAsia="Times New Roman" w:cs="Times New Roman"/>
          </w:rPr>
          <w:t xml:space="preserve">I.</w:t>
        </w:r>
        <w:r>
          <w:tab/>
        </w:r>
        <w:r>
          <w:rPr>
            <w:rStyle w:val="1437"/>
          </w:rPr>
        </w:r>
        <w:r>
          <w:rPr>
            <w:rStyle w:val="1437"/>
            <w:rFonts w:ascii="Times New Roman" w:hAnsi="Times New Roman" w:cs="Times New Roman"/>
            <w:caps/>
          </w:rPr>
          <w:t xml:space="preserve">ОБЩИЕ УСЛОВИЯ ПРОВЕДЕНИЯ ЗАКУПКИ</w:t>
        </w:r>
        <w:r>
          <w:rPr>
            <w:rStyle w:val="1437"/>
            <w:caps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4</w:t>
          <w:fldChar w:fldCharType="end"/>
        </w:r>
      </w:hyperlink>
      <w:r>
        <w:rPr>
          <w:rStyle w:val="1388"/>
          <w:caps/>
        </w:rPr>
      </w:r>
    </w:p>
    <w:p>
      <w:pPr>
        <w:pStyle w:val="1407"/>
        <w:tabs>
          <w:tab w:val="left" w:pos="567" w:leader="none"/>
          <w:tab w:val="right" w:pos="10195" w:leader="dot"/>
        </w:tabs>
      </w:pPr>
      <w:hyperlink w:tooltip="#_Toc3" w:anchor="_Toc3" w:history="1">
        <w:r>
          <w:rPr>
            <w:rFonts w:ascii="Times New Roman" w:hAnsi="Times New Roman" w:eastAsia="Times New Roman" w:cs="Times New Roman"/>
          </w:rPr>
          <w:t xml:space="preserve">1.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ОБЩИЕ ПОЛОЖЕНИЯ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4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4" w:anchor="_Toc4" w:history="1">
        <w:r>
          <w:rPr>
            <w:rFonts w:ascii="Times New Roman" w:hAnsi="Times New Roman" w:eastAsia="Times New Roman" w:cs="Times New Roman"/>
          </w:rPr>
          <w:t xml:space="preserve">1.1.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Правовой статус документов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4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5" w:anchor="_Toc5" w:history="1">
        <w:r>
          <w:rPr>
            <w:rFonts w:ascii="Times New Roman" w:hAnsi="Times New Roman" w:eastAsia="Times New Roman" w:cs="Times New Roman"/>
          </w:rPr>
          <w:t xml:space="preserve">1.2.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Заказчик, предмет и условия проведения закупки.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4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6" w:anchor="_Toc6" w:history="1">
        <w:r>
          <w:rPr>
            <w:rFonts w:ascii="Times New Roman" w:hAnsi="Times New Roman" w:eastAsia="Times New Roman" w:cs="Times New Roman"/>
          </w:rPr>
          <w:t xml:space="preserve">1.3.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Начальная (максимальная) цена договора (цена лота) 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4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7" w:anchor="_Toc7" w:history="1">
        <w:r>
          <w:rPr>
            <w:rFonts w:ascii="Times New Roman" w:hAnsi="Times New Roman" w:eastAsia="Times New Roman" w:cs="Times New Roman"/>
          </w:rPr>
          <w:t xml:space="preserve">1.4.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Требования к участникам закупки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5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8" w:anchor="_Toc8" w:history="1">
        <w:r>
          <w:rPr>
            <w:rFonts w:ascii="Times New Roman" w:hAnsi="Times New Roman" w:eastAsia="Times New Roman" w:cs="Times New Roman"/>
          </w:rPr>
          <w:t xml:space="preserve">1.5.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Привлечение соисполнителей (субподрядчиков) к исполнению договора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6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9" w:anchor="_Toc9" w:history="1">
        <w:r>
          <w:rPr>
            <w:rFonts w:ascii="Times New Roman" w:hAnsi="Times New Roman" w:eastAsia="Times New Roman" w:cs="Times New Roman"/>
          </w:rPr>
          <w:t xml:space="preserve">1.6.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Расходы н</w:t>
        </w:r>
        <w:r>
          <w:rPr>
            <w:rStyle w:val="1437"/>
          </w:rPr>
          <w:t xml:space="preserve">а участие в закупке и при заключении договора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6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10" w:anchor="_Toc10" w:history="1">
        <w:r>
          <w:rPr>
            <w:rFonts w:ascii="Times New Roman" w:hAnsi="Times New Roman" w:eastAsia="Times New Roman" w:cs="Times New Roman"/>
          </w:rPr>
          <w:t xml:space="preserve">1.7.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Предоставление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</w:t>
        </w:r>
        <w:r>
          <w:rPr>
            <w:rStyle w:val="1437"/>
          </w:rPr>
          <w:t xml:space="preserve">и видами юридических лиц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6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11" w:anchor="_Toc11" w:history="1">
        <w:r>
          <w:rPr>
            <w:rFonts w:ascii="Times New Roman" w:hAnsi="Times New Roman" w:eastAsia="Times New Roman" w:cs="Times New Roman"/>
          </w:rPr>
          <w:t xml:space="preserve">1.8.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Антимонопольная оговорка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7</w:t>
          <w:fldChar w:fldCharType="end"/>
        </w:r>
      </w:hyperlink>
      <w:r/>
    </w:p>
    <w:p>
      <w:pPr>
        <w:pStyle w:val="1407"/>
        <w:tabs>
          <w:tab w:val="left" w:pos="567" w:leader="none"/>
          <w:tab w:val="right" w:pos="10195" w:leader="dot"/>
        </w:tabs>
      </w:pPr>
      <w:hyperlink w:tooltip="#_Toc12" w:anchor="_Toc12" w:history="1">
        <w:r>
          <w:rPr>
            <w:rFonts w:ascii="Times New Roman" w:hAnsi="Times New Roman" w:eastAsia="Times New Roman" w:cs="Times New Roman"/>
          </w:rPr>
          <w:t xml:space="preserve">2.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ДОКУМЕНТАЦИЯ О ЗАКУПКЕ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7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13" w:anchor="_Toc13" w:history="1">
        <w:r>
          <w:rPr>
            <w:rFonts w:ascii="Times New Roman" w:hAnsi="Times New Roman" w:eastAsia="Times New Roman" w:cs="Times New Roman"/>
          </w:rPr>
          <w:t xml:space="preserve">2.1.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Предоставление документации</w:t>
        </w:r>
        <w:r>
          <w:rPr>
            <w:rStyle w:val="1437"/>
          </w:rPr>
          <w:t xml:space="preserve"> о закупке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7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14" w:anchor="_Toc14" w:history="1">
        <w:r>
          <w:rPr>
            <w:rFonts w:ascii="Times New Roman" w:hAnsi="Times New Roman" w:eastAsia="Times New Roman" w:cs="Times New Roman"/>
          </w:rPr>
          <w:t xml:space="preserve">2.2.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Разъяснение положений документации о закупке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7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15" w:anchor="_Toc15" w:history="1">
        <w:r>
          <w:rPr>
            <w:rFonts w:ascii="Times New Roman" w:hAnsi="Times New Roman" w:eastAsia="Times New Roman" w:cs="Times New Roman"/>
          </w:rPr>
          <w:t xml:space="preserve">2.3.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Внесение изменений в извещение о </w:t>
        </w:r>
        <w:r>
          <w:rPr>
            <w:rStyle w:val="1437"/>
          </w:rPr>
          <w:t xml:space="preserve">закупке и/или документацию о закупке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8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16" w:anchor="_Toc16" w:history="1">
        <w:r>
          <w:rPr>
            <w:rFonts w:ascii="Times New Roman" w:hAnsi="Times New Roman" w:eastAsia="Times New Roman" w:cs="Times New Roman"/>
          </w:rPr>
          <w:t xml:space="preserve">2.4.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Отмена закупки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8</w:t>
          <w:fldChar w:fldCharType="end"/>
        </w:r>
      </w:hyperlink>
      <w:r/>
    </w:p>
    <w:p>
      <w:pPr>
        <w:pStyle w:val="1407"/>
        <w:tabs>
          <w:tab w:val="left" w:pos="567" w:leader="none"/>
          <w:tab w:val="right" w:pos="10195" w:leader="dot"/>
        </w:tabs>
      </w:pPr>
      <w:hyperlink w:tooltip="#_Toc17" w:anchor="_Toc17" w:history="1">
        <w:r>
          <w:rPr>
            <w:rFonts w:ascii="Times New Roman" w:hAnsi="Times New Roman" w:eastAsia="Times New Roman" w:cs="Times New Roman"/>
          </w:rPr>
          <w:t xml:space="preserve">3.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ТРЕБОВАНИЯ К СОДЕРЖАНИЮ ЗАЯВКИ НА УЧАСТИЕ В </w:t>
        </w:r>
        <w:r>
          <w:rPr>
            <w:rStyle w:val="1437"/>
          </w:rPr>
          <w:t xml:space="preserve">ЗАКУПКЕ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8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18" w:anchor="_Toc18" w:history="1">
        <w:r>
          <w:rPr>
            <w:rFonts w:ascii="Times New Roman" w:hAnsi="Times New Roman" w:eastAsia="Times New Roman" w:cs="Times New Roman"/>
          </w:rPr>
          <w:t xml:space="preserve">3.1.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Требования к оформлению заявки на участие в закупке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8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19" w:anchor="_Toc19" w:history="1">
        <w:r>
          <w:rPr>
            <w:rFonts w:ascii="Times New Roman" w:hAnsi="Times New Roman" w:eastAsia="Times New Roman" w:cs="Times New Roman"/>
          </w:rPr>
          <w:t xml:space="preserve">3.2.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Язык документов, входящих в состав заявки на учас</w:t>
        </w:r>
        <w:r>
          <w:rPr>
            <w:rStyle w:val="1437"/>
          </w:rPr>
          <w:t xml:space="preserve">тие в закупке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9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20" w:anchor="_Toc20" w:history="1">
        <w:r>
          <w:rPr>
            <w:rFonts w:ascii="Times New Roman" w:hAnsi="Times New Roman" w:eastAsia="Times New Roman" w:cs="Times New Roman"/>
          </w:rPr>
          <w:t xml:space="preserve">3.3.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Требования к валюте заявки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9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21" w:anchor="_Toc21" w:history="1">
        <w:r>
          <w:rPr>
            <w:rFonts w:ascii="Times New Roman" w:hAnsi="Times New Roman" w:eastAsia="Times New Roman" w:cs="Times New Roman"/>
          </w:rPr>
          <w:t xml:space="preserve">3.4.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Требования к составу заявки на участие в закупке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9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22" w:anchor="_Toc22" w:history="1">
        <w:r>
          <w:rPr>
            <w:rFonts w:ascii="Times New Roman" w:hAnsi="Times New Roman" w:eastAsia="Times New Roman" w:cs="Times New Roman"/>
          </w:rPr>
          <w:t xml:space="preserve">3.5.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Требования к описанию предложения участника закупки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10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23" w:anchor="_Toc23" w:history="1">
        <w:r>
          <w:rPr>
            <w:rFonts w:ascii="Times New Roman" w:hAnsi="Times New Roman" w:eastAsia="Times New Roman" w:cs="Times New Roman"/>
          </w:rPr>
          <w:t xml:space="preserve">3.6.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Требования к обеспечению заявок на участи</w:t>
        </w:r>
        <w:r>
          <w:rPr>
            <w:rStyle w:val="1437"/>
          </w:rPr>
          <w:t xml:space="preserve">е в закупке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11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24" w:anchor="_Toc24" w:history="1">
        <w:r>
          <w:rPr>
            <w:rFonts w:ascii="Times New Roman" w:hAnsi="Times New Roman" w:eastAsia="Times New Roman" w:cs="Times New Roman"/>
          </w:rPr>
          <w:t xml:space="preserve">3.7.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Порядок действий, осуществляемых Заказчиком в ходе проведения закупки, в случае предложения участником закупки аномально низкой цены 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14</w:t>
          <w:fldChar w:fldCharType="end"/>
        </w:r>
      </w:hyperlink>
      <w:r/>
    </w:p>
    <w:p>
      <w:pPr>
        <w:pStyle w:val="1407"/>
        <w:tabs>
          <w:tab w:val="left" w:pos="567" w:leader="none"/>
          <w:tab w:val="right" w:pos="10195" w:leader="dot"/>
        </w:tabs>
      </w:pPr>
      <w:hyperlink w:tooltip="#_Toc25" w:anchor="_Toc25" w:history="1">
        <w:r>
          <w:rPr>
            <w:rFonts w:ascii="Times New Roman" w:hAnsi="Times New Roman" w:eastAsia="Times New Roman" w:cs="Times New Roman"/>
          </w:rPr>
          <w:t xml:space="preserve">4.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ПОДАЧА ЗАЯВОК НА УЧАСТИЕ В ЗАКУПКЕ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16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26" w:anchor="_Toc26" w:history="1">
        <w:r>
          <w:rPr>
            <w:rFonts w:ascii="Times New Roman" w:hAnsi="Times New Roman" w:eastAsia="Times New Roman" w:cs="Times New Roman"/>
          </w:rPr>
          <w:t xml:space="preserve">4.1.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Порядок, место, дата начала и дата окончания срока подачи заявок на участие в </w:t>
        </w:r>
        <w:r>
          <w:rPr>
            <w:rStyle w:val="1437"/>
          </w:rPr>
          <w:t xml:space="preserve">закупке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16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27" w:anchor="_Toc27" w:history="1">
        <w:r>
          <w:rPr>
            <w:rFonts w:ascii="Times New Roman" w:hAnsi="Times New Roman" w:eastAsia="Times New Roman" w:cs="Times New Roman"/>
          </w:rPr>
          <w:t xml:space="preserve">4.2.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Изменения и отзыв заявок на участие в </w:t>
        </w:r>
        <w:r>
          <w:rPr>
            <w:rStyle w:val="1437"/>
          </w:rPr>
          <w:t xml:space="preserve">закупке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16</w:t>
          <w:fldChar w:fldCharType="end"/>
        </w:r>
      </w:hyperlink>
      <w:r/>
    </w:p>
    <w:p>
      <w:pPr>
        <w:pStyle w:val="1407"/>
        <w:tabs>
          <w:tab w:val="left" w:pos="567" w:leader="none"/>
          <w:tab w:val="right" w:pos="10195" w:leader="dot"/>
        </w:tabs>
      </w:pPr>
      <w:hyperlink w:tooltip="#_Toc28" w:anchor="_Toc28" w:history="1">
        <w:r>
          <w:rPr>
            <w:rFonts w:ascii="Times New Roman" w:hAnsi="Times New Roman" w:eastAsia="Times New Roman" w:cs="Times New Roman"/>
          </w:rPr>
          <w:t xml:space="preserve">5.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ПОРЯДОК ПРОВЕДЕНИЯ ЗАКУПКИ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16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29" w:anchor="_Toc29" w:history="1">
        <w:r>
          <w:rPr>
            <w:rFonts w:ascii="Times New Roman" w:hAnsi="Times New Roman" w:eastAsia="Times New Roman" w:cs="Times New Roman"/>
          </w:rPr>
          <w:t xml:space="preserve">5.1.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Закупочная комиссия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16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30" w:anchor="_Toc30" w:history="1">
        <w:r>
          <w:rPr>
            <w:rFonts w:ascii="Times New Roman" w:hAnsi="Times New Roman" w:eastAsia="Times New Roman" w:cs="Times New Roman"/>
          </w:rPr>
          <w:t xml:space="preserve">5.2.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Требования к процедуре рассмотрения, оценки и сопоставления заявок участников закупки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16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31" w:anchor="_Toc31" w:history="1">
        <w:r>
          <w:rPr>
            <w:rFonts w:ascii="Times New Roman" w:hAnsi="Times New Roman" w:eastAsia="Times New Roman" w:cs="Times New Roman"/>
          </w:rPr>
          <w:t xml:space="preserve">5.3.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Критерии оценки заявок участников закупки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17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32" w:anchor="_Toc32" w:history="1">
        <w:r>
          <w:rPr>
            <w:rFonts w:ascii="Times New Roman" w:hAnsi="Times New Roman" w:eastAsia="Times New Roman" w:cs="Times New Roman"/>
          </w:rPr>
          <w:t xml:space="preserve">5.4.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Особенности осуществления рассмотрения общих частей заявок.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18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33" w:anchor="_Toc33" w:history="1">
        <w:r>
          <w:rPr>
            <w:rFonts w:ascii="Times New Roman" w:hAnsi="Times New Roman" w:eastAsia="Times New Roman" w:cs="Times New Roman"/>
          </w:rPr>
          <w:t xml:space="preserve">5.5.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Особенности осуществления рассмотрения и сопоставления ценовых предложений участников закупки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18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34" w:anchor="_Toc34" w:history="1">
        <w:r>
          <w:rPr>
            <w:rFonts w:ascii="Times New Roman" w:hAnsi="Times New Roman" w:eastAsia="Times New Roman" w:cs="Times New Roman"/>
          </w:rPr>
          <w:t xml:space="preserve">5.6.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Переторж</w:t>
        </w:r>
        <w:r>
          <w:rPr>
            <w:rStyle w:val="1437"/>
          </w:rPr>
          <w:t xml:space="preserve">ка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19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35" w:anchor="_Toc35" w:history="1">
        <w:r>
          <w:rPr>
            <w:rFonts w:ascii="Times New Roman" w:hAnsi="Times New Roman" w:eastAsia="Times New Roman" w:cs="Times New Roman"/>
          </w:rPr>
          <w:t xml:space="preserve">5.7.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Подведение итогов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19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36" w:anchor="_Toc36" w:history="1">
        <w:r>
          <w:rPr>
            <w:rFonts w:ascii="Times New Roman" w:hAnsi="Times New Roman" w:eastAsia="Times New Roman" w:cs="Times New Roman"/>
          </w:rPr>
          <w:t xml:space="preserve">5.8.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Признание закупки несостоявшейся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20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37" w:anchor="_Toc37" w:history="1">
        <w:r>
          <w:rPr>
            <w:rFonts w:ascii="Times New Roman" w:hAnsi="Times New Roman" w:eastAsia="Times New Roman" w:cs="Times New Roman"/>
          </w:rPr>
          <w:t xml:space="preserve">5.9.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Рассмотрение жалоб и обращений участников закупки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20</w:t>
          <w:fldChar w:fldCharType="end"/>
        </w:r>
      </w:hyperlink>
      <w:r/>
    </w:p>
    <w:p>
      <w:pPr>
        <w:pStyle w:val="1407"/>
        <w:tabs>
          <w:tab w:val="left" w:pos="567" w:leader="none"/>
          <w:tab w:val="right" w:pos="10195" w:leader="dot"/>
        </w:tabs>
      </w:pPr>
      <w:hyperlink w:tooltip="#_Toc38" w:anchor="_Toc38" w:history="1">
        <w:r>
          <w:rPr>
            <w:rFonts w:ascii="Times New Roman" w:hAnsi="Times New Roman" w:eastAsia="Times New Roman" w:cs="Times New Roman"/>
          </w:rPr>
          <w:t xml:space="preserve">6.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ЗАКЛЮЧЕНИЕ, ИЗМЕНЕНИЕ И РАСТОРЖЕНИЕ ДОГОВОРА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_Toc38 \h</w:instrText>
          <w:fldChar w:fldCharType="separate"/>
          <w:t xml:space="preserve">20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39" w:anchor="_Toc39" w:history="1">
        <w:r>
          <w:rPr>
            <w:rFonts w:ascii="Times New Roman" w:hAnsi="Times New Roman" w:eastAsia="Times New Roman" w:cs="Times New Roman"/>
          </w:rPr>
          <w:t xml:space="preserve">6.1.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Срок и порядок заключения договора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_Toc39 \h</w:instrText>
          <w:fldChar w:fldCharType="separate"/>
          <w:t xml:space="preserve">20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40" w:anchor="_Toc40" w:history="1">
        <w:r>
          <w:rPr>
            <w:rFonts w:ascii="Times New Roman" w:hAnsi="Times New Roman" w:eastAsia="Times New Roman" w:cs="Times New Roman"/>
          </w:rPr>
          <w:t xml:space="preserve">6.2.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_Toc40 \h</w:instrText>
          <w:fldChar w:fldCharType="separate"/>
          <w:t xml:space="preserve">22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  <w:rPr>
          <w:smallCaps/>
        </w:rPr>
      </w:pPr>
      <w:hyperlink w:tooltip="#_Toc41" w:anchor="_Toc41" w:history="1">
        <w:r>
          <w:rPr>
            <w:rFonts w:ascii="Times New Roman" w:hAnsi="Times New Roman" w:eastAsia="Times New Roman" w:cs="Times New Roman"/>
          </w:rPr>
          <w:t xml:space="preserve">6.3.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rPr>
            <w:rStyle w:val="1437"/>
            <w:smallCaps/>
          </w:rPr>
        </w:r>
        <w:r>
          <w:tab/>
        </w:r>
        <w:r>
          <w:fldChar w:fldCharType="begin"/>
          <w:instrText xml:space="preserve">PAGEREF _Toc41 \h</w:instrText>
          <w:fldChar w:fldCharType="separate"/>
          <w:t xml:space="preserve">23</w:t>
          <w:fldChar w:fldCharType="end"/>
        </w:r>
      </w:hyperlink>
      <w:r>
        <w:rPr>
          <w:smallCaps/>
        </w:rPr>
      </w:r>
    </w:p>
    <w:p>
      <w:pPr>
        <w:pStyle w:val="1408"/>
        <w:tabs>
          <w:tab w:val="left" w:pos="850" w:leader="none"/>
          <w:tab w:val="right" w:pos="10195" w:leader="dot"/>
        </w:tabs>
      </w:pPr>
      <w:hyperlink w:tooltip="#_Toc42" w:anchor="_Toc42" w:history="1">
        <w:r>
          <w:rPr>
            <w:rFonts w:ascii="Times New Roman" w:hAnsi="Times New Roman" w:eastAsia="Times New Roman" w:cs="Times New Roman"/>
          </w:rPr>
          <w:t xml:space="preserve">6.4.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Отказ от заключения договора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_Toc42 \h</w:instrText>
          <w:fldChar w:fldCharType="separate"/>
          <w:t xml:space="preserve">26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43" w:anchor="_Toc43" w:history="1">
        <w:r>
          <w:rPr>
            <w:rFonts w:ascii="Times New Roman" w:hAnsi="Times New Roman" w:eastAsia="Times New Roman" w:cs="Times New Roman"/>
          </w:rPr>
          <w:t xml:space="preserve">6.5.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Изменение и расторжение договора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_Toc43 \h</w:instrText>
          <w:fldChar w:fldCharType="separate"/>
          <w:t xml:space="preserve">27</w:t>
          <w:fldChar w:fldCharType="end"/>
        </w:r>
      </w:hyperlink>
      <w:r/>
    </w:p>
    <w:p>
      <w:pPr>
        <w:pStyle w:val="1408"/>
        <w:tabs>
          <w:tab w:val="left" w:pos="850" w:leader="none"/>
          <w:tab w:val="right" w:pos="10195" w:leader="dot"/>
        </w:tabs>
      </w:pPr>
      <w:hyperlink w:tooltip="#_Toc44" w:anchor="_Toc44" w:history="1">
        <w:r>
          <w:rPr>
            <w:rFonts w:ascii="Times New Roman" w:hAnsi="Times New Roman" w:eastAsia="Times New Roman" w:cs="Times New Roman"/>
          </w:rPr>
          <w:t xml:space="preserve">6.6.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Закупка продукции с разбиением заказа на лоты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_Toc44 \h</w:instrText>
          <w:fldChar w:fldCharType="separate"/>
          <w:t xml:space="preserve">27</w:t>
          <w:fldChar w:fldCharType="end"/>
        </w:r>
      </w:hyperlink>
      <w:r/>
    </w:p>
    <w:p>
      <w:pPr>
        <w:pStyle w:val="1407"/>
        <w:tabs>
          <w:tab w:val="left" w:pos="567" w:leader="none"/>
          <w:tab w:val="right" w:pos="10195" w:leader="dot"/>
        </w:tabs>
        <w:rPr>
          <w:rStyle w:val="1388"/>
          <w:rFonts w:ascii="Times New Roman" w:hAnsi="Times New Roman" w:cs="Times New Roman"/>
        </w:rPr>
      </w:pPr>
      <w:hyperlink w:tooltip="#_Toc45" w:anchor="_Toc45" w:history="1">
        <w:r>
          <w:rPr>
            <w:rFonts w:ascii="Times New Roman" w:hAnsi="Times New Roman" w:eastAsia="Times New Roman" w:cs="Times New Roman"/>
          </w:rPr>
          <w:t xml:space="preserve">II.</w:t>
        </w:r>
        <w:r>
          <w:tab/>
        </w:r>
        <w:r>
          <w:rPr>
            <w:rStyle w:val="1437"/>
          </w:rPr>
        </w:r>
        <w:r>
          <w:rPr>
            <w:rStyle w:val="1437"/>
            <w:rFonts w:ascii="Times New Roman" w:hAnsi="Times New Roman" w:cs="Times New Roman"/>
          </w:rPr>
          <w:t xml:space="preserve">ИНФОРМАЦИОННАЯ КАРТА </w:t>
        </w:r>
        <w:r>
          <w:rPr>
            <w:rStyle w:val="1437"/>
            <w:rFonts w:ascii="Times New Roman" w:hAnsi="Times New Roman" w:cs="Times New Roman"/>
          </w:rPr>
          <w:t xml:space="preserve">ЗАКУПКИ</w:t>
        </w:r>
        <w:r>
          <w:rPr>
            <w:rStyle w:val="1437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_Toc45 \h</w:instrText>
          <w:fldChar w:fldCharType="separate"/>
          <w:t xml:space="preserve">29</w:t>
          <w:fldChar w:fldCharType="end"/>
        </w:r>
      </w:hyperlink>
      <w:r>
        <w:rPr>
          <w:rStyle w:val="1388"/>
          <w:rFonts w:ascii="Times New Roman" w:hAnsi="Times New Roman" w:cs="Times New Roman"/>
        </w:rPr>
      </w:r>
    </w:p>
    <w:p>
      <w:pPr>
        <w:pStyle w:val="1407"/>
        <w:tabs>
          <w:tab w:val="left" w:pos="567" w:leader="none"/>
          <w:tab w:val="right" w:pos="10195" w:leader="dot"/>
        </w:tabs>
        <w:rPr>
          <w:rStyle w:val="1388"/>
          <w:rFonts w:ascii="Times New Roman" w:hAnsi="Times New Roman" w:cs="Times New Roman"/>
        </w:rPr>
      </w:pPr>
      <w:hyperlink w:tooltip="#_Toc46" w:anchor="_Toc46" w:history="1">
        <w:r>
          <w:rPr>
            <w:rFonts w:ascii="Times New Roman" w:hAnsi="Times New Roman" w:eastAsia="Times New Roman" w:cs="Times New Roman"/>
          </w:rPr>
          <w:t xml:space="preserve">III.</w:t>
        </w:r>
        <w:r>
          <w:tab/>
        </w:r>
        <w:r>
          <w:rPr>
            <w:rStyle w:val="1437"/>
          </w:rPr>
        </w:r>
        <w:r>
          <w:rPr>
            <w:rStyle w:val="1437"/>
            <w:rFonts w:ascii="Times New Roman" w:hAnsi="Times New Roman" w:cs="Times New Roman"/>
          </w:rPr>
          <w:t xml:space="preserve">ОБРАЗЦЫ ФОРМ ДЛЯ ЗАПОЛНЕНИЯ УЧАСТНИКАМИ ЗАКУПКИ</w:t>
        </w:r>
        <w:r>
          <w:rPr>
            <w:rStyle w:val="1437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_Toc46 \h</w:instrText>
          <w:fldChar w:fldCharType="separate"/>
          <w:t xml:space="preserve">49</w:t>
          <w:fldChar w:fldCharType="end"/>
        </w:r>
      </w:hyperlink>
      <w:r>
        <w:rPr>
          <w:rStyle w:val="1388"/>
          <w:rFonts w:ascii="Times New Roman" w:hAnsi="Times New Roman" w:cs="Times New Roman"/>
        </w:rPr>
      </w:r>
    </w:p>
    <w:p>
      <w:pPr>
        <w:pStyle w:val="1408"/>
        <w:tabs>
          <w:tab w:val="right" w:pos="10195" w:leader="dot"/>
        </w:tabs>
      </w:pPr>
      <w:hyperlink w:tooltip="#_Toc47" w:anchor="_Toc47" w:history="1">
        <w:r>
          <w:rPr>
            <w:rStyle w:val="1437"/>
          </w:rPr>
        </w:r>
        <w:r>
          <w:rPr>
            <w:rStyle w:val="1437"/>
          </w:rPr>
          <w:t xml:space="preserve">ФОРМА ТЕХНИЧЕСКОЕ ПРЕДЛОЖЕНИЕ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_Toc47 \h</w:instrText>
          <w:fldChar w:fldCharType="separate"/>
          <w:t xml:space="preserve">49</w:t>
          <w:fldChar w:fldCharType="end"/>
        </w:r>
      </w:hyperlink>
      <w:r/>
    </w:p>
    <w:p>
      <w:pPr>
        <w:pStyle w:val="1408"/>
        <w:tabs>
          <w:tab w:val="right" w:pos="10195" w:leader="dot"/>
        </w:tabs>
      </w:pPr>
      <w:hyperlink w:tooltip="#_Toc48" w:anchor="_Toc48" w:history="1">
        <w:r>
          <w:rPr>
            <w:rStyle w:val="1437"/>
          </w:rPr>
        </w:r>
        <w:r>
          <w:rPr>
            <w:rStyle w:val="1437"/>
          </w:rPr>
          <w:t xml:space="preserve">ФОРМА ПИСЬМО О ПОДАЧЕ ОФЕРТЫ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_Toc48 \h</w:instrText>
          <w:fldChar w:fldCharType="separate"/>
          <w:t xml:space="preserve">50</w:t>
          <w:fldChar w:fldCharType="end"/>
        </w:r>
      </w:hyperlink>
      <w:r/>
    </w:p>
    <w:p>
      <w:pPr>
        <w:pStyle w:val="1408"/>
        <w:tabs>
          <w:tab w:val="right" w:pos="10195" w:leader="dot"/>
        </w:tabs>
      </w:pPr>
      <w:hyperlink w:tooltip="#_Toc49" w:anchor="_Toc49" w:history="1">
        <w:r>
          <w:rPr>
            <w:rStyle w:val="1437"/>
          </w:rPr>
        </w:r>
        <w:r>
          <w:rPr>
            <w:rStyle w:val="1437"/>
          </w:rPr>
          <w:t xml:space="preserve">ФОРМА ПЛАН РАСПРЕДЕЛЕНИЯ ОБЪЕМОВ ВЫПОЛНЕНИЯ РАБОТ/ОКАЗАНИЯ УСЛУГ МЕЖДУ ЧЛЕНАМИ КОЛЛЕКТИВНОГО УЧАСТНИКА (КОНСОРЦИУМА, ПРОСТОГО ТОВАРИЩЕСТВА)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_Toc49 \h</w:instrText>
          <w:fldChar w:fldCharType="separate"/>
          <w:t xml:space="preserve">53</w:t>
          <w:fldChar w:fldCharType="end"/>
        </w:r>
      </w:hyperlink>
      <w:r/>
    </w:p>
    <w:p>
      <w:pPr>
        <w:pStyle w:val="1408"/>
        <w:tabs>
          <w:tab w:val="right" w:pos="10195" w:leader="dot"/>
        </w:tabs>
      </w:pPr>
      <w:hyperlink w:tooltip="#_Toc50" w:anchor="_Toc50" w:history="1">
        <w:r>
          <w:rPr>
            <w:rStyle w:val="1437"/>
          </w:rPr>
        </w:r>
        <w:r>
          <w:rPr>
            <w:rStyle w:val="1437"/>
          </w:rPr>
          <w:t xml:space="preserve">ФОРМА АНКЕТА УЧАСТНИКА ЗАКУПКИ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_Toc50 \h</w:instrText>
          <w:fldChar w:fldCharType="separate"/>
          <w:t xml:space="preserve">55</w:t>
          <w:fldChar w:fldCharType="end"/>
        </w:r>
      </w:hyperlink>
      <w:r/>
    </w:p>
    <w:p>
      <w:pPr>
        <w:pStyle w:val="1408"/>
        <w:tabs>
          <w:tab w:val="right" w:pos="10195" w:leader="dot"/>
        </w:tabs>
      </w:pPr>
      <w:hyperlink w:tooltip="#_Toc51" w:anchor="_Toc51" w:history="1">
        <w:r>
          <w:rPr>
            <w:rStyle w:val="1437"/>
          </w:rPr>
        </w:r>
        <w:r>
          <w:rPr>
            <w:rStyle w:val="1437"/>
          </w:rPr>
          <w:t xml:space="preserve">ФОРМА СПРАВКА О НАЛИЧИИ КОНФЛИКТА ИНТЕРЕСОВ И/ИЛИ СВЯЗЕЙ, НОСЯЩИХ ХАРАКТЕР АФФИЛИРОВАННОСТИ С СОТРУДНИКАМИ ЗАКАЗЧИКА ИЛИ ОРГАНИЗАТОРА ЗАКУПКИ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_Toc51 \h</w:instrText>
          <w:fldChar w:fldCharType="separate"/>
          <w:t xml:space="preserve">59</w:t>
          <w:fldChar w:fldCharType="end"/>
        </w:r>
      </w:hyperlink>
      <w:r/>
    </w:p>
    <w:p>
      <w:pPr>
        <w:pStyle w:val="1408"/>
        <w:tabs>
          <w:tab w:val="right" w:pos="10195" w:leader="dot"/>
        </w:tabs>
      </w:pPr>
      <w:hyperlink w:tooltip="#_Toc52" w:anchor="_Toc52" w:history="1">
        <w:r>
          <w:rPr>
            <w:rStyle w:val="1437"/>
          </w:rPr>
        </w:r>
        <w:r>
          <w:rPr>
            <w:rStyle w:val="1437"/>
          </w:rPr>
          <w:t xml:space="preserve">ФОРМА СПРАВКА (ИНФОРМАЦИЯ) О СОБСТВЕННИКАХ УЧАСТНИКА ЗАКУПКИ (ВКЛЮЧАЯ КОНЕЧНЫХ БЕНЕФИЦИАРОВ)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_Toc52 \h</w:instrText>
          <w:fldChar w:fldCharType="separate"/>
          <w:t xml:space="preserve">60</w:t>
          <w:fldChar w:fldCharType="end"/>
        </w:r>
      </w:hyperlink>
      <w:r/>
    </w:p>
    <w:p>
      <w:pPr>
        <w:pStyle w:val="1408"/>
        <w:tabs>
          <w:tab w:val="right" w:pos="10195" w:leader="dot"/>
        </w:tabs>
      </w:pPr>
      <w:hyperlink w:tooltip="#_Toc53" w:anchor="_Toc53" w:history="1">
        <w:r>
          <w:rPr>
            <w:rStyle w:val="1437"/>
          </w:rPr>
        </w:r>
        <w:r>
          <w:rPr>
            <w:rStyle w:val="1437"/>
          </w:rPr>
          <w:t xml:space="preserve">ФОРМА СОГЛАСИЕ НА ОБРАБОТКУ ПЕРСОНАЛЬНЫХ ДАННЫХ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_Toc53 \h</w:instrText>
          <w:fldChar w:fldCharType="separate"/>
          <w:t xml:space="preserve">65</w:t>
          <w:fldChar w:fldCharType="end"/>
        </w:r>
      </w:hyperlink>
      <w:r/>
    </w:p>
    <w:p>
      <w:pPr>
        <w:pStyle w:val="1408"/>
        <w:tabs>
          <w:tab w:val="right" w:pos="10195" w:leader="dot"/>
        </w:tabs>
      </w:pPr>
      <w:hyperlink w:tooltip="#_Toc54" w:anchor="_Toc54" w:history="1">
        <w:r>
          <w:rPr>
            <w:rStyle w:val="1437"/>
          </w:rPr>
        </w:r>
        <w:r>
          <w:rPr>
            <w:rStyle w:val="1437"/>
          </w:rPr>
          <w:t xml:space="preserve">ФОРМА АНТИКОРРУПЦИОННЫЕ ОБЯЗАТЕЛЬСТВА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_Toc54 \h</w:instrText>
          <w:fldChar w:fldCharType="separate"/>
          <w:t xml:space="preserve">67</w:t>
          <w:fldChar w:fldCharType="end"/>
        </w:r>
      </w:hyperlink>
      <w:r/>
    </w:p>
    <w:p>
      <w:pPr>
        <w:pStyle w:val="1408"/>
        <w:tabs>
          <w:tab w:val="right" w:pos="10195" w:leader="dot"/>
        </w:tabs>
        <w:rPr>
          <w:highlight w:val="none"/>
        </w:rPr>
      </w:pPr>
      <w:hyperlink w:tooltip="#_Toc55" w:anchor="_Toc55" w:history="1">
        <w:r>
          <w:rPr>
            <w:rStyle w:val="1437"/>
          </w:rPr>
        </w:r>
        <w:r>
          <w:rPr>
            <w:rStyle w:val="1437"/>
            <w:highlight w:val="none"/>
          </w:rPr>
          <w:t xml:space="preserve">ФОРМА СПРАВКА О ПЕРЕЧНЕ И ОБЪЕМАХ ВЫПОЛНЕНИЯ АНАЛОГИЧНЫХ ДОГОВОРОВ</w:t>
        </w:r>
        <w:r>
          <w:rPr>
            <w:rStyle w:val="1437"/>
            <w:highlight w:val="none"/>
          </w:rPr>
        </w:r>
        <w:r>
          <w:tab/>
        </w:r>
        <w:r>
          <w:fldChar w:fldCharType="begin"/>
          <w:instrText xml:space="preserve">PAGEREF _Toc55 \h</w:instrText>
          <w:fldChar w:fldCharType="separate"/>
          <w:t xml:space="preserve">70</w:t>
          <w:fldChar w:fldCharType="end"/>
        </w:r>
      </w:hyperlink>
      <w:r>
        <w:rPr>
          <w:highlight w:val="none"/>
        </w:rPr>
      </w:r>
    </w:p>
    <w:p>
      <w:pPr>
        <w:pStyle w:val="1408"/>
        <w:tabs>
          <w:tab w:val="right" w:pos="10195" w:leader="dot"/>
        </w:tabs>
        <w:rPr>
          <w:rFonts w:eastAsiaTheme="majorEastAsia"/>
          <w:highlight w:val="none"/>
        </w:rPr>
      </w:pPr>
      <w:hyperlink w:tooltip="#_Toc56" w:anchor="_Toc56" w:history="1">
        <w:r>
          <w:rPr>
            <w:rStyle w:val="1437"/>
          </w:rPr>
        </w:r>
        <w:r>
          <w:rPr>
            <w:rStyle w:val="1437"/>
            <w:highlight w:val="none"/>
          </w:rPr>
          <w:t xml:space="preserve">ФОРМА КОММЕРЧЕСКОЕ П</w:t>
        </w:r>
        <w:r>
          <w:rPr>
            <w:rStyle w:val="1437"/>
            <w:highlight w:val="none"/>
          </w:rPr>
          <w:t xml:space="preserve">РЕДЛОЖЕНИЕ</w:t>
        </w:r>
        <w:r>
          <w:rPr>
            <w:rStyle w:val="1437"/>
            <w:rFonts w:eastAsiaTheme="majorEastAsia"/>
            <w:highlight w:val="none"/>
          </w:rPr>
        </w:r>
        <w:r>
          <w:tab/>
        </w:r>
        <w:r>
          <w:fldChar w:fldCharType="begin"/>
          <w:instrText xml:space="preserve">PAGEREF _Toc56 \h</w:instrText>
          <w:fldChar w:fldCharType="separate"/>
          <w:t xml:space="preserve">72</w:t>
          <w:fldChar w:fldCharType="end"/>
        </w:r>
      </w:hyperlink>
      <w:r>
        <w:rPr>
          <w:rFonts w:eastAsiaTheme="majorEastAsia"/>
          <w:highlight w:val="none"/>
        </w:rPr>
      </w:r>
    </w:p>
    <w:p>
      <w:pPr>
        <w:pStyle w:val="1407"/>
        <w:tabs>
          <w:tab w:val="left" w:pos="567" w:leader="none"/>
          <w:tab w:val="right" w:pos="10195" w:leader="dot"/>
        </w:tabs>
        <w:rPr>
          <w:rStyle w:val="1388"/>
          <w:rFonts w:ascii="Times New Roman" w:hAnsi="Times New Roman" w:cs="Times New Roman"/>
          <w:caps/>
        </w:rPr>
      </w:pPr>
      <w:hyperlink w:tooltip="#_Toc57" w:anchor="_Toc57" w:history="1">
        <w:r>
          <w:rPr>
            <w:rFonts w:ascii="Times New Roman" w:hAnsi="Times New Roman" w:eastAsia="Times New Roman" w:cs="Times New Roman"/>
          </w:rPr>
          <w:t xml:space="preserve">IV.</w:t>
        </w:r>
        <w:r>
          <w:tab/>
        </w:r>
        <w:r>
          <w:rPr>
            <w:rStyle w:val="1437"/>
          </w:rPr>
        </w:r>
        <w:r>
          <w:rPr>
            <w:rStyle w:val="1437"/>
            <w:rFonts w:ascii="Times New Roman" w:hAnsi="Times New Roman" w:cs="Times New Roman"/>
            <w:caps/>
          </w:rPr>
          <w:t xml:space="preserve">ПРОЕКТ ДОГОВОРА</w:t>
        </w:r>
        <w:r>
          <w:rPr>
            <w:rStyle w:val="1437"/>
            <w:rFonts w:ascii="Times New Roman" w:hAnsi="Times New Roman" w:cs="Times New Roman"/>
            <w:caps/>
          </w:rPr>
        </w:r>
        <w:r>
          <w:tab/>
        </w:r>
        <w:r>
          <w:fldChar w:fldCharType="begin"/>
          <w:instrText xml:space="preserve">PAGEREF _Toc57 \h</w:instrText>
          <w:fldChar w:fldCharType="separate"/>
          <w:t xml:space="preserve">73</w:t>
          <w:fldChar w:fldCharType="end"/>
        </w:r>
      </w:hyperlink>
      <w:r>
        <w:rPr>
          <w:rStyle w:val="1388"/>
          <w:rFonts w:ascii="Times New Roman" w:hAnsi="Times New Roman" w:cs="Times New Roman"/>
          <w:caps/>
        </w:rPr>
      </w:r>
    </w:p>
    <w:p>
      <w:pPr>
        <w:pStyle w:val="1407"/>
        <w:tabs>
          <w:tab w:val="left" w:pos="567" w:leader="none"/>
          <w:tab w:val="right" w:pos="10195" w:leader="dot"/>
        </w:tabs>
        <w:rPr>
          <w:rStyle w:val="1388"/>
          <w:rFonts w:ascii="Times New Roman" w:hAnsi="Times New Roman" w:cs="Times New Roman"/>
        </w:rPr>
      </w:pPr>
      <w:hyperlink w:tooltip="#_Toc58" w:anchor="_Toc58" w:history="1">
        <w:r>
          <w:rPr>
            <w:rFonts w:ascii="Times New Roman" w:hAnsi="Times New Roman" w:eastAsia="Times New Roman" w:cs="Times New Roman"/>
          </w:rPr>
          <w:t xml:space="preserve">V.</w:t>
        </w:r>
        <w:r>
          <w:tab/>
        </w:r>
        <w:r>
          <w:rPr>
            <w:rStyle w:val="1437"/>
          </w:rPr>
        </w:r>
        <w:r>
          <w:rPr>
            <w:rStyle w:val="1437"/>
            <w:rFonts w:ascii="Times New Roman" w:hAnsi="Times New Roman" w:cs="Times New Roman"/>
          </w:rPr>
          <w:t xml:space="preserve">ТЕХНИЧЕСКАЯ ЧАСТЬ</w:t>
        </w:r>
        <w:r>
          <w:rPr>
            <w:rStyle w:val="1437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_Toc58 \h</w:instrText>
          <w:fldChar w:fldCharType="separate"/>
          <w:t xml:space="preserve">74</w:t>
          <w:fldChar w:fldCharType="end"/>
        </w:r>
      </w:hyperlink>
      <w:r>
        <w:rPr>
          <w:rStyle w:val="1388"/>
          <w:rFonts w:ascii="Times New Roman" w:hAnsi="Times New Roman" w:cs="Times New Roman"/>
        </w:rPr>
      </w:r>
    </w:p>
    <w:p>
      <w:pPr>
        <w:pStyle w:val="1407"/>
        <w:tabs>
          <w:tab w:val="left" w:pos="567" w:leader="none"/>
          <w:tab w:val="right" w:pos="10195" w:leader="dot"/>
        </w:tabs>
        <w:rPr>
          <w:rStyle w:val="1388"/>
          <w:rFonts w:ascii="Times New Roman" w:hAnsi="Times New Roman" w:cs="Times New Roman"/>
        </w:rPr>
      </w:pPr>
      <w:hyperlink w:tooltip="#_Toc59" w:anchor="_Toc59" w:history="1">
        <w:r>
          <w:rPr>
            <w:rFonts w:ascii="Times New Roman" w:hAnsi="Times New Roman" w:eastAsia="Times New Roman" w:cs="Times New Roman"/>
          </w:rPr>
          <w:t xml:space="preserve">VI.</w:t>
        </w:r>
        <w:r>
          <w:tab/>
        </w:r>
        <w:r>
          <w:rPr>
            <w:rStyle w:val="1437"/>
          </w:rPr>
        </w:r>
        <w:r>
          <w:rPr>
            <w:rStyle w:val="1437"/>
            <w:rFonts w:ascii="Times New Roman" w:hAnsi="Times New Roman" w:cs="Times New Roman"/>
          </w:rPr>
          <w:t xml:space="preserve">ОБОСНОВАНИЕ НМЦ</w:t>
        </w:r>
        <w:r>
          <w:rPr>
            <w:rStyle w:val="1437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_Toc59 \h</w:instrText>
          <w:fldChar w:fldCharType="separate"/>
          <w:t xml:space="preserve">75</w:t>
          <w:fldChar w:fldCharType="end"/>
        </w:r>
      </w:hyperlink>
      <w:r>
        <w:rPr>
          <w:rStyle w:val="1388"/>
          <w:rFonts w:ascii="Times New Roman" w:hAnsi="Times New Roman" w:cs="Times New Roman"/>
        </w:rPr>
      </w:r>
    </w:p>
    <w:p>
      <w:pPr>
        <w:pStyle w:val="1407"/>
        <w:tabs>
          <w:tab w:val="left" w:pos="850" w:leader="none"/>
          <w:tab w:val="right" w:pos="10195" w:leader="dot"/>
        </w:tabs>
      </w:pPr>
      <w:hyperlink w:tooltip="#_Toc60" w:anchor="_Toc60" w:history="1">
        <w:r>
          <w:rPr>
            <w:rFonts w:ascii="Times New Roman" w:hAnsi="Times New Roman" w:eastAsia="Times New Roman" w:cs="Times New Roman"/>
          </w:rPr>
          <w:t xml:space="preserve">VII.</w:t>
        </w:r>
        <w:r>
          <w:tab/>
        </w:r>
        <w:r>
          <w:rPr>
            <w:rStyle w:val="1437"/>
          </w:rPr>
        </w:r>
        <w:r>
          <w:rPr>
            <w:rStyle w:val="1437"/>
          </w:rPr>
          <w:t xml:space="preserve">ТИПОВ</w:t>
        </w:r>
        <w:r>
          <w:rPr>
            <w:rStyle w:val="1437"/>
            <w:rFonts w:eastAsiaTheme="majorEastAsia"/>
          </w:rPr>
          <w:t xml:space="preserve">ЫЕ</w:t>
        </w:r>
        <w:r>
          <w:rPr>
            <w:rStyle w:val="1437"/>
          </w:rPr>
          <w:t xml:space="preserve"> ФОРМ</w:t>
        </w:r>
        <w:r>
          <w:rPr>
            <w:rStyle w:val="1437"/>
            <w:rFonts w:eastAsiaTheme="majorEastAsia"/>
          </w:rPr>
          <w:t xml:space="preserve">Ы</w:t>
        </w:r>
        <w:r>
          <w:rPr>
            <w:rStyle w:val="1437"/>
          </w:rPr>
          <w:t xml:space="preserve"> НЕЗАВИСИМ</w:t>
        </w:r>
        <w:r>
          <w:rPr>
            <w:rStyle w:val="1437"/>
            <w:rFonts w:eastAsiaTheme="majorEastAsia"/>
          </w:rPr>
          <w:t xml:space="preserve">ЫХ ГАРАНТИЙ</w:t>
        </w:r>
        <w:r>
          <w:rPr>
            <w:rStyle w:val="1437"/>
          </w:rPr>
        </w:r>
        <w:r>
          <w:tab/>
        </w:r>
        <w:r>
          <w:fldChar w:fldCharType="begin"/>
          <w:instrText xml:space="preserve">PAGEREF _Toc60 \h</w:instrText>
          <w:fldChar w:fldCharType="separate"/>
          <w:t xml:space="preserve">76</w:t>
          <w:fldChar w:fldCharType="end"/>
        </w:r>
      </w:hyperlink>
      <w:r/>
    </w:p>
    <w:p>
      <w:pPr>
        <w:pStyle w:val="1407"/>
        <w:tabs>
          <w:tab w:val="left" w:pos="850" w:leader="none"/>
        </w:tabs>
        <w:rPr>
          <w:b w:val="0"/>
          <w:bCs/>
          <w:i/>
          <w:smallCaps/>
          <w:sz w:val="24"/>
          <w:szCs w:val="24"/>
        </w:rPr>
      </w:pPr>
      <w:r>
        <w:rPr>
          <w:i/>
          <w:iCs/>
          <w:smallCaps/>
          <w:sz w:val="24"/>
          <w:szCs w:val="24"/>
        </w:rPr>
      </w:r>
      <w:r>
        <w:rPr>
          <w:rStyle w:val="1388"/>
          <w:rFonts w:ascii="Times New Roman" w:hAnsi="Times New Roman" w:cs="Times New Roman"/>
        </w:rPr>
      </w:r>
      <w:r>
        <w:rPr>
          <w:b w:val="0"/>
          <w:bCs w:val="0"/>
          <w:i/>
          <w:iCs/>
          <w:smallCaps/>
          <w:sz w:val="24"/>
          <w:szCs w:val="24"/>
        </w:rPr>
        <w:fldChar w:fldCharType="end"/>
      </w:r>
      <w:r>
        <w:rPr>
          <w:b w:val="0"/>
          <w:i/>
          <w:smallCaps/>
          <w:sz w:val="24"/>
          <w:szCs w:val="24"/>
        </w:rPr>
      </w:r>
      <w:r/>
    </w:p>
    <w:p>
      <w:pPr>
        <w:pStyle w:val="1217"/>
        <w:numPr>
          <w:ilvl w:val="0"/>
          <w:numId w:val="4"/>
        </w:numPr>
        <w:ind w:left="0" w:firstLine="567"/>
        <w:keepNext w:val="0"/>
        <w:spacing w:before="0" w:after="0"/>
        <w:rPr>
          <w:rStyle w:val="1388"/>
          <w:b w:val="0"/>
          <w:bCs w:val="0"/>
          <w:caps/>
          <w:sz w:val="28"/>
          <w:szCs w:val="28"/>
        </w:rPr>
      </w:pPr>
      <w:r/>
      <w:bookmarkStart w:id="212" w:name="_Toc2"/>
      <w:r/>
      <w:bookmarkStart w:id="1" w:name="_I._ОБЩИЕ_У"/>
      <w:r/>
      <w:bookmarkStart w:id="2" w:name="_ОБЩИЕ_УСЛОВИЯ_ПРОВЕДЕНИЯ"/>
      <w:r/>
      <w:bookmarkStart w:id="3" w:name="_Ref166642713"/>
      <w:r/>
      <w:bookmarkEnd w:id="1"/>
      <w:r/>
      <w:bookmarkEnd w:id="2"/>
      <w:r>
        <w:rPr>
          <w:rStyle w:val="1388"/>
          <w:rFonts w:ascii="Times New Roman" w:hAnsi="Times New Roman" w:cs="Times New Roman"/>
          <w:caps/>
          <w:color w:val="auto"/>
          <w:sz w:val="28"/>
          <w:szCs w:val="28"/>
        </w:rPr>
        <w:t xml:space="preserve">ОБЩИЕ УСЛОВИЯ ПРОВЕДЕНИЯ ЗАКУПКИ</w:t>
      </w:r>
      <w:bookmarkEnd w:id="3"/>
      <w:r>
        <w:rPr>
          <w:rStyle w:val="1388"/>
          <w:b w:val="0"/>
          <w:bCs w:val="0"/>
          <w:caps/>
          <w:sz w:val="28"/>
          <w:szCs w:val="28"/>
        </w:rPr>
      </w:r>
      <w:bookmarkEnd w:id="212"/>
      <w:r/>
      <w:r>
        <w:rPr>
          <w:rStyle w:val="1388"/>
          <w:b w:val="0"/>
          <w:bCs w:val="0"/>
          <w:caps/>
          <w:sz w:val="28"/>
          <w:szCs w:val="28"/>
        </w:rPr>
      </w:r>
    </w:p>
    <w:p>
      <w:r/>
      <w:r/>
    </w:p>
    <w:p>
      <w:pPr>
        <w:pStyle w:val="1217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13" w:name="_Toc3"/>
      <w:r/>
      <w:bookmarkStart w:id="5" w:name="_ОБЩИЕ_ПОЛОЖЕНИЯ"/>
      <w:r/>
      <w:bookmarkStart w:id="6" w:name="_Ref166101247"/>
      <w:r/>
      <w:bookmarkStart w:id="7" w:name="_Ref166101251"/>
      <w:r/>
      <w:bookmarkEnd w:id="5"/>
      <w:r>
        <w:rPr>
          <w:sz w:val="24"/>
          <w:szCs w:val="24"/>
        </w:rPr>
        <w:t xml:space="preserve">ОБЩИЕ ПОЛОЖЕНИЯ</w:t>
      </w:r>
      <w:bookmarkEnd w:id="6"/>
      <w:r/>
      <w:bookmarkEnd w:id="7"/>
      <w:r>
        <w:rPr>
          <w:sz w:val="24"/>
          <w:szCs w:val="24"/>
        </w:rPr>
      </w:r>
      <w:bookmarkEnd w:id="213"/>
      <w:r/>
      <w:r>
        <w:rPr>
          <w:sz w:val="24"/>
          <w:szCs w:val="24"/>
        </w:rPr>
      </w:r>
    </w:p>
    <w:p>
      <w:pPr>
        <w:pStyle w:val="1218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14" w:name="_Toc4"/>
      <w:r>
        <w:rPr>
          <w:sz w:val="24"/>
          <w:szCs w:val="24"/>
        </w:rPr>
        <w:t xml:space="preserve">Правовой статус документов</w:t>
      </w:r>
      <w:r>
        <w:rPr>
          <w:sz w:val="24"/>
          <w:szCs w:val="24"/>
        </w:rPr>
      </w:r>
      <w:bookmarkEnd w:id="214"/>
      <w:r/>
      <w:r>
        <w:rPr>
          <w:sz w:val="24"/>
          <w:szCs w:val="24"/>
        </w:rPr>
      </w:r>
    </w:p>
    <w:p>
      <w:pPr>
        <w:pStyle w:val="1219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19427085"/>
      <w:r/>
      <w:bookmarkStart w:id="11" w:name="_Ref11225299"/>
      <w:r>
        <w:rPr>
          <w:rFonts w:ascii="Times New Roman" w:hAnsi="Times New Roman" w:cs="Times New Roman"/>
          <w:b w:val="0"/>
          <w:bCs w:val="0"/>
        </w:rPr>
        <w:t xml:space="preserve">Настоящая документация о закупке подготовлена в соответствии </w:t>
      </w:r>
      <w:bookmarkEnd w:id="10"/>
      <w:r>
        <w:rPr>
          <w:rFonts w:ascii="Times New Roman" w:hAnsi="Times New Roman" w:cs="Times New Roman"/>
          <w:b w:val="0"/>
          <w:bCs w:val="0"/>
        </w:rPr>
        <w:t xml:space="preserve">с требованиями </w:t>
      </w:r>
      <w:hyperlink r:id="rId12" w:tooltip="http://www.consultant.ru/document/cons_doc_LAW_116964/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Федерального закона от 18.07.2011 № 223-ФЗ «О закупке товаров, работ, услуг отдельными видами юридических лиц»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Закон 2</w:t>
      </w:r>
      <w:r>
        <w:rPr>
          <w:rFonts w:ascii="Times New Roman" w:hAnsi="Times New Roman" w:cs="Times New Roman"/>
          <w:b w:val="0"/>
          <w:bCs w:val="0"/>
        </w:rPr>
        <w:t xml:space="preserve">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hyperlink r:id="rId13" w:tooltip="https://zakupki.gov.ru/epz/orderclause/card/common-info.html?orderClauseInfoId=967865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Единого стандарта закупок ПАО«Россети»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Стандарт, Положение о закупке), (в редакции, дейс</w:t>
      </w:r>
      <w:r>
        <w:rPr>
          <w:rFonts w:ascii="Times New Roman" w:hAnsi="Times New Roman" w:cs="Times New Roman"/>
          <w:b w:val="0"/>
          <w:bCs w:val="0"/>
        </w:rPr>
        <w:t xml:space="preserve">твующей на дату официального размещения извещения).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</w:t>
      </w:r>
      <w:r>
        <w:rPr>
          <w:rFonts w:ascii="Times New Roman" w:hAnsi="Times New Roman" w:cs="Times New Roman"/>
          <w:b w:val="0"/>
          <w:bCs w:val="0"/>
        </w:rPr>
        <w:t xml:space="preserve">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Извещение о закупке и настоящая документация о закупке, размещенные Заказчиком в Единой информационной системе</w:t>
      </w:r>
      <w:r>
        <w:rPr>
          <w:rFonts w:ascii="Times New Roman" w:hAnsi="Times New Roman" w:cs="Times New Roman"/>
          <w:b w:val="0"/>
          <w:bCs w:val="0"/>
        </w:rPr>
        <w:t xml:space="preserve"> в сфере закупок товаров, работ,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</w:t>
      </w:r>
      <w:r>
        <w:rPr>
          <w:rFonts w:ascii="Times New Roman" w:hAnsi="Times New Roman" w:cs="Times New Roman"/>
          <w:b w:val="0"/>
          <w:bCs w:val="0"/>
        </w:rPr>
        <w:t xml:space="preserve">енного для проведения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конкурентной закупке (далее – заявка, заявка участника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участника закупки, поданная участником в соответствии с установленными требованиями, имеет правовой статус оф</w:t>
      </w:r>
      <w:r>
        <w:rPr>
          <w:rFonts w:ascii="Times New Roman" w:hAnsi="Times New Roman" w:cs="Times New Roman"/>
          <w:b w:val="0"/>
          <w:bCs w:val="0"/>
        </w:rPr>
        <w:t xml:space="preserve">ерты и будет рассматриваться Заказчиком в соответствии с этим.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</w:t>
      </w:r>
      <w:hyperlink r:id="rId14" w:tooltip="http://www.consultant.ru/document/cons_doc_LAW_5142/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Гражданским кодексом Российской Федерации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r:id="rId15" w:tooltip="https://zakupki.gov.ru/epz/orderclause/card/common-info.html?orderClauseInfoId=829138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Положением о закупке Заказчика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</w:t>
      </w:r>
      <w:r>
        <w:rPr>
          <w:rFonts w:ascii="Times New Roman" w:hAnsi="Times New Roman" w:cs="Times New Roman"/>
          <w:b w:val="0"/>
          <w:bCs w:val="0"/>
        </w:rPr>
        <w:t xml:space="preserve">ию к диспозитивным нормам указанных актов.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15" w:name="_Toc5"/>
      <w:r>
        <w:rPr>
          <w:sz w:val="24"/>
          <w:szCs w:val="24"/>
        </w:rPr>
        <w:t xml:space="preserve">Заказчик, предмет и условия проведения закупки.</w:t>
      </w:r>
      <w:r>
        <w:rPr>
          <w:sz w:val="24"/>
          <w:szCs w:val="24"/>
        </w:rPr>
      </w:r>
      <w:bookmarkEnd w:id="215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3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</w:t>
      </w:r>
      <w:hyperlink w:tooltip="#_Наименование,_место_нахождения," w:anchor="_Наименование,_место_нахождения,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соответственно (далее по тексту ссылки на разделы, подразделы, пункты и подпункты относятся исключительно к настоящей документации о закупке, если рядом с такой ссылкой не указано иного), проводит закупку, предмет и услови</w:t>
      </w:r>
      <w:r>
        <w:rPr>
          <w:rFonts w:ascii="Times New Roman" w:hAnsi="Times New Roman" w:cs="Times New Roman"/>
          <w:b w:val="0"/>
          <w:bCs w:val="0"/>
        </w:rPr>
        <w:t xml:space="preserve">я которой указаны в </w:t>
      </w:r>
      <w:hyperlink w:tooltip="#_РАЗДЕЛ_I_3_ИНФОРМАЦИОННАЯ_КАРТА_КОН" w:anchor="_РАЗДЕЛ_I_3_ИНФОРМАЦИОННАЯ_КАРТА_КОН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в соответствии с процедурами, условиями и положениями настоящей документации о закупке.</w:t>
      </w:r>
      <w:bookmarkEnd w:id="13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</w:t>
      </w:r>
      <w:r>
        <w:rPr>
          <w:rFonts w:ascii="Times New Roman" w:hAnsi="Times New Roman" w:cs="Times New Roman"/>
          <w:b w:val="0"/>
          <w:bCs w:val="0"/>
        </w:rPr>
        <w:t xml:space="preserve">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</w:t>
      </w:r>
      <w:r>
        <w:rPr>
          <w:rFonts w:ascii="Times New Roman" w:hAnsi="Times New Roman" w:cs="Times New Roman"/>
          <w:b w:val="0"/>
          <w:bCs w:val="0"/>
        </w:rPr>
        <w:t xml:space="preserve">формация о котором (в случае принятия такого решения) должна быть указана в пункте </w:t>
      </w:r>
      <w:hyperlink w:tooltip="#_Наименование,_место_нахождения," w:anchor="_Наименование,_место_нахождения,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Распределение функций между Заказчиком </w:t>
      </w:r>
      <w:r>
        <w:rPr>
          <w:rFonts w:ascii="Times New Roman" w:hAnsi="Times New Roman" w:cs="Times New Roman"/>
          <w:b w:val="0"/>
          <w:bCs w:val="0"/>
        </w:rPr>
        <w:t xml:space="preserve">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8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16" w:name="_Toc6"/>
      <w:r>
        <w:rPr>
          <w:sz w:val="24"/>
          <w:szCs w:val="24"/>
        </w:rPr>
        <w:t xml:space="preserve">Начальная (максимальная) цена договора (цена лота) </w:t>
      </w:r>
      <w:r>
        <w:rPr>
          <w:sz w:val="24"/>
          <w:szCs w:val="24"/>
        </w:rPr>
      </w:r>
      <w:bookmarkEnd w:id="216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закупке и в пункте </w:t>
      </w:r>
      <w:hyperlink w:tooltip="#_Сведения_о_начальной" w:anchor="_Сведения_о_начальной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 Начальная (максимальная) цена договора (цена лота)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 (цена лота</w:t>
      </w:r>
      <w:r>
        <w:rPr>
          <w:rFonts w:ascii="Times New Roman" w:hAnsi="Times New Roman" w:cs="Times New Roman"/>
          <w:b w:val="0"/>
        </w:rPr>
        <w:t xml:space="preserve">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максимального значения цены договора, либо цены единицы товара, работы, услуги и максимальное значен</w:t>
      </w:r>
      <w:r>
        <w:rPr>
          <w:rFonts w:ascii="Times New Roman" w:hAnsi="Times New Roman" w:cs="Times New Roman"/>
          <w:b w:val="0"/>
        </w:rPr>
        <w:t xml:space="preserve">ие цены договора. 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</w:t>
      </w:r>
      <w:r>
        <w:rPr>
          <w:rFonts w:ascii="Times New Roman" w:hAnsi="Times New Roman" w:cs="Times New Roman"/>
          <w:b w:val="0"/>
        </w:rPr>
        <w:t xml:space="preserve"> указание начальных максимальных цен отдельных договоров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Начальная (максимальная) цена каждого товара, работы, услуги, являющихся предметом закупки, составляет значения, указанные в </w:t>
      </w:r>
      <w:hyperlink w:tooltip="#_Приложение_№_2" w:anchor="_Приложение_2" w:history="1">
        <w:r>
          <w:rPr>
            <w:rStyle w:val="1437"/>
            <w:rFonts w:ascii="Times New Roman" w:hAnsi="Times New Roman" w:cs="Times New Roman"/>
            <w:b w:val="0"/>
          </w:rPr>
          <w:t xml:space="preserve">Приложении № 2 к ча</w:t>
        </w:r>
        <w:r>
          <w:rPr>
            <w:rStyle w:val="1437"/>
            <w:rFonts w:ascii="Times New Roman" w:hAnsi="Times New Roman" w:cs="Times New Roman"/>
            <w:b w:val="0"/>
          </w:rPr>
          <w:t xml:space="preserve">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8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17" w:name="_Toc7"/>
      <w:r/>
      <w:bookmarkStart w:id="15" w:name="_1.4._Требо"/>
      <w:r/>
      <w:bookmarkStart w:id="16" w:name="_Требования_к_участникам"/>
      <w:r/>
      <w:bookmarkEnd w:id="15"/>
      <w:r/>
      <w:bookmarkEnd w:id="16"/>
      <w:r>
        <w:rPr>
          <w:sz w:val="24"/>
          <w:szCs w:val="24"/>
        </w:rPr>
        <w:t xml:space="preserve">Требования к участникам закупки</w:t>
      </w:r>
      <w:r>
        <w:rPr>
          <w:sz w:val="24"/>
          <w:szCs w:val="24"/>
        </w:rPr>
      </w:r>
      <w:bookmarkEnd w:id="217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572"/>
        <w:numPr>
          <w:ilvl w:val="3"/>
          <w:numId w:val="25"/>
        </w:numPr>
        <w:ind w:left="0" w:firstLine="567"/>
        <w:widowControl w:val="off"/>
        <w:tabs>
          <w:tab w:val="left" w:pos="1418" w:leader="none"/>
        </w:tabs>
        <w:rPr>
          <w:rFonts w:eastAsiaTheme="minorHAnsi"/>
          <w:sz w:val="24"/>
          <w:szCs w:val="24"/>
          <w:lang w:eastAsia="en-US"/>
        </w:rPr>
      </w:pPr>
      <w:r>
        <w:rPr>
          <w:b/>
          <w:bCs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</w:t>
      </w:r>
      <w:r>
        <w:rPr>
          <w:rFonts w:eastAsiaTheme="minorHAnsi"/>
          <w:sz w:val="24"/>
          <w:szCs w:val="24"/>
          <w:lang w:eastAsia="en-US"/>
        </w:rPr>
        <w:t xml:space="preserve">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</w:t>
      </w:r>
      <w:r>
        <w:rPr>
          <w:rFonts w:eastAsiaTheme="minorHAnsi"/>
          <w:sz w:val="24"/>
          <w:szCs w:val="24"/>
          <w:lang w:eastAsia="en-US"/>
        </w:rPr>
        <w:t xml:space="preserve">гося иностранным агентом в соответствии с </w:t>
      </w:r>
      <w:hyperlink r:id="rId16" w:tooltip="https://www.consultant.ru/document/cons_doc_LAW_421788/?ysclid=lh7gcn0ch0337012251" w:history="1">
        <w:r>
          <w:rPr>
            <w:rStyle w:val="1437"/>
            <w:rFonts w:eastAsiaTheme="minorHAnsi"/>
            <w:sz w:val="24"/>
            <w:szCs w:val="24"/>
            <w:lang w:eastAsia="en-US"/>
          </w:rPr>
          <w:t xml:space="preserve">Федеральным законом от 14 и</w:t>
        </w:r>
        <w:r>
          <w:rPr>
            <w:rStyle w:val="1437"/>
            <w:rFonts w:eastAsiaTheme="minorHAnsi"/>
            <w:sz w:val="24"/>
            <w:szCs w:val="24"/>
            <w:lang w:eastAsia="en-US"/>
          </w:rPr>
          <w:t xml:space="preserve">юля 2022 года № 255-ФЗ «О контроле за деятельностью лиц, находящихся под иностранным влиянием»</w:t>
        </w:r>
      </w:hyperlink>
      <w:r>
        <w:rPr>
          <w:rFonts w:eastAsiaTheme="minorHAnsi"/>
          <w:sz w:val="24"/>
          <w:szCs w:val="24"/>
          <w:lang w:eastAsia="en-US"/>
        </w:rPr>
        <w:t xml:space="preserve">, если иное не предусмотрено законодательством Российской Федерации;</w: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</w:r>
    </w:p>
    <w:p>
      <w:pPr>
        <w:pStyle w:val="1572"/>
        <w:numPr>
          <w:ilvl w:val="3"/>
          <w:numId w:val="25"/>
        </w:numPr>
        <w:ind w:left="0" w:firstLine="567"/>
        <w:widowControl w:val="off"/>
        <w:tabs>
          <w:tab w:val="left" w:pos="1418" w:leader="none"/>
        </w:tabs>
        <w:rPr>
          <w:b/>
          <w:bCs/>
        </w:rPr>
      </w:pPr>
      <w:r>
        <w:rPr>
          <w:sz w:val="24"/>
          <w:szCs w:val="24"/>
        </w:rPr>
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</w:t>
      </w:r>
      <w:r>
        <w:rPr>
          <w:sz w:val="24"/>
          <w:szCs w:val="24"/>
        </w:rPr>
        <w:t xml:space="preserve">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иностранным агентом в соответствии с </w:t>
      </w:r>
      <w:hyperlink r:id="rId17" w:tooltip="https://www.consultant.ru/document/cons_doc_LAW_421788/?ysclid=lh7gd9qdev457426157" w:history="1">
        <w:r>
          <w:rPr>
            <w:rStyle w:val="1437"/>
            <w:sz w:val="24"/>
            <w:szCs w:val="24"/>
          </w:rPr>
          <w:t xml:space="preserve">Федеральным законом от 14 июля 2022 года № 255-ФЗ «О контроле за деятельностью лиц, находящихся под иностранн</w:t>
        </w:r>
        <w:r>
          <w:rPr>
            <w:rStyle w:val="1437"/>
            <w:sz w:val="24"/>
            <w:szCs w:val="24"/>
          </w:rPr>
          <w:t xml:space="preserve">ым влиянием»</w:t>
        </w:r>
      </w:hyperlink>
      <w:r>
        <w:rPr>
          <w:rStyle w:val="1437"/>
          <w:sz w:val="24"/>
          <w:szCs w:val="24"/>
        </w:rP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</w:t>
      </w:r>
      <w:r>
        <w:rPr>
          <w:rFonts w:ascii="Times New Roman" w:hAnsi="Times New Roman" w:cs="Times New Roman"/>
          <w:b w:val="0"/>
          <w:bCs w:val="0"/>
        </w:rPr>
        <w:t xml:space="preserve">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8" w:name="_Участник_закупки_для"/>
      <w:r/>
      <w:bookmarkStart w:id="19" w:name="_Ref166312025"/>
      <w:r/>
      <w:bookmarkEnd w:id="18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</w:t>
      </w:r>
      <w:hyperlink w:tooltip="#_Единые_требования_к" w:anchor="_Единые_требования_к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14 части I</w:t>
        </w:r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Требования,_установленные_в" w:anchor="_Требования,_установленные_в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15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Квалификационные_требования_к" w:anchor="_Квалификационные_требования_к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16 части</w:t>
        </w:r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 II «ИНФОРМАЦИОННАЯ КАРТА ЗАКУПКИ»</w:t>
        </w:r>
      </w:hyperlink>
      <w:r/>
      <w:bookmarkEnd w:id="19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указать сведения о наличии/отсутствии конфликта интересов и/или связей, носящих характер аффилированности с работниками Заказчика/Организатора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пр</w:t>
      </w:r>
      <w:r>
        <w:rPr>
          <w:rFonts w:ascii="Times New Roman" w:hAnsi="Times New Roman" w:cs="Times New Roman"/>
          <w:b w:val="0"/>
          <w:bCs w:val="0"/>
        </w:rPr>
        <w:t xml:space="preserve">едоставить справку о цепочке собственников участника закупки, включая бенефициаров (в том числе конечных).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ознакомится с требованиями Антикоррупционной политики Заказчика и выразить согласие с принимаемыми заказчиком антико</w:t>
      </w:r>
      <w:r>
        <w:rPr>
          <w:rFonts w:ascii="Times New Roman" w:hAnsi="Times New Roman" w:cs="Times New Roman"/>
          <w:b w:val="0"/>
          <w:bCs w:val="0"/>
        </w:rPr>
        <w:t xml:space="preserve">ррупционными мерами.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</w:t>
      </w:r>
      <w:hyperlink r:id="rId18" w:tooltip="http://www.consultant.ru/document/cons_doc_LAW_116964/" w:history="1">
        <w:r>
          <w:rPr>
            <w:rStyle w:val="1437"/>
            <w:rFonts w:ascii="Times New Roman" w:hAnsi="Times New Roman" w:cs="Times New Roman"/>
            <w:b w:val="0"/>
          </w:rPr>
          <w:t xml:space="preserve">Законом 223-ФЗ</w:t>
        </w:r>
      </w:hyperlink>
      <w:r>
        <w:rPr>
          <w:rFonts w:ascii="Times New Roman" w:hAnsi="Times New Roman" w:cs="Times New Roman"/>
          <w:b w:val="0"/>
        </w:rPr>
        <w:t xml:space="preserve">, и (или) в реестре недобросовестных поставщиков, предусмотренном </w:t>
      </w:r>
      <w:hyperlink r:id="rId19" w:tooltip="https://www.consultant.ru/document/cons_doc_LAW_144624/?ysclid=lh7gqoclg7259684790" w:history="1">
        <w:r>
          <w:rPr>
            <w:rStyle w:val="1437"/>
            <w:rFonts w:ascii="Times New Roman" w:hAnsi="Times New Roman" w:cs="Times New Roman"/>
            <w:b w:val="0"/>
          </w:rPr>
          <w:t xml:space="preserve">Федеральным законом от 5 апреля 2013 года № 44-ФЗ «О контрактной системе в сфере закупок товаров, </w:t>
        </w:r>
        <w:r>
          <w:rPr>
            <w:rStyle w:val="1437"/>
            <w:rFonts w:ascii="Times New Roman" w:hAnsi="Times New Roman" w:cs="Times New Roman"/>
            <w:b w:val="0"/>
          </w:rPr>
          <w:t xml:space="preserve">работ, услуг для обеспечения государственных и муниципальных нужд»</w:t>
        </w:r>
      </w:hyperlink>
      <w:r>
        <w:rPr>
          <w:rFonts w:ascii="Times New Roman" w:hAnsi="Times New Roman" w:cs="Times New Roman"/>
          <w:b w:val="0"/>
        </w:rPr>
        <w:t xml:space="preserve">, если такое требование установлено Заказчиком, в</w:t>
      </w:r>
      <w:r>
        <w:rPr>
          <w:rFonts w:ascii="Times New Roman" w:hAnsi="Times New Roman" w:cs="Times New Roman"/>
          <w:b w:val="0"/>
        </w:rPr>
        <w:t xml:space="preserve"> пункте </w:t>
      </w:r>
      <w:hyperlink w:tooltip="#_Единые_требования_к" w:anchor="_Единые_требования_к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14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</w:t>
      </w:r>
      <w:r>
        <w:rPr>
          <w:rFonts w:ascii="Times New Roman" w:hAnsi="Times New Roman" w:cs="Times New Roman"/>
          <w:b w:val="0"/>
        </w:rPr>
        <w:t xml:space="preserve"> в состав коллективного участника, должно отвечать требованиям настоящей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</w:t>
      </w:r>
      <w:r>
        <w:rPr>
          <w:rFonts w:ascii="Times New Roman" w:hAnsi="Times New Roman" w:cs="Times New Roman"/>
          <w:b w:val="0"/>
        </w:rPr>
        <w:t xml:space="preserve">недобросовестных поставщиков и т.п.).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распределением поставок, работ, услуг</w:t>
      </w:r>
      <w:r>
        <w:rPr>
          <w:rFonts w:ascii="Times New Roman" w:hAnsi="Times New Roman" w:cs="Times New Roman"/>
          <w:b w:val="0"/>
        </w:rPr>
        <w:t xml:space="preserve"> между членами коллективного участника.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документации о закупке требованиям оцениваетс</w:t>
      </w:r>
      <w:r>
        <w:rPr>
          <w:rFonts w:ascii="Times New Roman" w:hAnsi="Times New Roman" w:cs="Times New Roman"/>
          <w:b w:val="0"/>
        </w:rPr>
        <w:t xml:space="preserve">я в соответствии с распределением поставок, работ, услуг между членами коллективного участника.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</w:t>
      </w:r>
      <w:r>
        <w:rPr>
          <w:rFonts w:ascii="Times New Roman" w:hAnsi="Times New Roman" w:cs="Times New Roman"/>
          <w:b w:val="0"/>
        </w:rPr>
        <w:t xml:space="preserve">тоятельно либо в качестве субподрядчиков (субпоставщиков) у других участников закупки. В случае невыполнения этих требований заявки с участием таких лиц будут отклонены без рассмотрения по существу. Любое юридическое или индивидуальный предприниматель, не </w:t>
      </w:r>
      <w:r>
        <w:rPr>
          <w:rFonts w:ascii="Times New Roman" w:hAnsi="Times New Roman" w:cs="Times New Roman"/>
          <w:b w:val="0"/>
        </w:rPr>
        <w:t xml:space="preserve">принимающее участие в данной закупке самостоятельно либо в составе коллективного участника может являться субподрядчиком/соисполнителем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0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</w:t>
      </w:r>
      <w:r>
        <w:rPr>
          <w:rFonts w:ascii="Times New Roman" w:hAnsi="Times New Roman" w:cs="Times New Roman"/>
          <w:b w:val="0"/>
          <w:bCs w:val="0"/>
        </w:rPr>
        <w:t xml:space="preserve">у особо опасных, технически сложных объектов капитального строительства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</w:t>
      </w:r>
      <w:r>
        <w:rPr>
          <w:rFonts w:ascii="Times New Roman" w:hAnsi="Times New Roman" w:cs="Times New Roman"/>
          <w:b w:val="0"/>
          <w:bCs w:val="0"/>
        </w:rPr>
        <w:t xml:space="preserve"> субподрядчикам, соисполнителям и (или) изготовителям товара, являющегося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</w:t>
      </w:r>
      <w:r>
        <w:rPr>
          <w:rFonts w:ascii="Times New Roman" w:hAnsi="Times New Roman" w:cs="Times New Roman"/>
          <w:b w:val="0"/>
          <w:bCs w:val="0"/>
        </w:rPr>
        <w:t xml:space="preserve">й указывается в пункте </w:t>
      </w:r>
      <w:bookmarkEnd w:id="20"/>
      <w:r>
        <w:fldChar w:fldCharType="begin"/>
      </w:r>
      <w:r>
        <w:instrText xml:space="preserve"> HYPERLINK \l "_Единые_требования_к" </w:instrText>
      </w:r>
      <w:r>
        <w:fldChar w:fldCharType="separate"/>
      </w:r>
      <w:r>
        <w:rPr>
          <w:rStyle w:val="1437"/>
          <w:rFonts w:ascii="Times New Roman" w:hAnsi="Times New Roman" w:cs="Times New Roman"/>
          <w:b w:val="0"/>
          <w:bCs w:val="0"/>
        </w:rPr>
        <w:t xml:space="preserve">14 части II «ИНФОРМАЦИОННАЯ КАРТА ЗАКУПКИ»</w:t>
      </w:r>
      <w:r>
        <w:rPr>
          <w:rStyle w:val="1437"/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Требования,_установленные_в" w:anchor="_Требования,_установленные_в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15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Квалификационные_требования_к" w:anchor="_Квалификационные_требования_к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16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218" w:name="_Toc8"/>
      <w:r>
        <w:rPr>
          <w:sz w:val="24"/>
          <w:szCs w:val="24"/>
        </w:rPr>
        <w:t xml:space="preserve">Привлечение соисполнителей (субподрядчиков) к исполнению договора</w:t>
      </w:r>
      <w:r>
        <w:rPr>
          <w:sz w:val="24"/>
          <w:szCs w:val="24"/>
        </w:rPr>
      </w:r>
      <w:bookmarkEnd w:id="218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22" w:name="_Ref354131841"/>
      <w:r/>
      <w:bookmarkStart w:id="23" w:name="_Ref11495519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19" w:name="_Toc9"/>
      <w:r/>
      <w:bookmarkEnd w:id="22"/>
      <w:r>
        <w:rPr>
          <w:sz w:val="24"/>
          <w:szCs w:val="24"/>
        </w:rPr>
        <w:t xml:space="preserve">Расходы н</w:t>
      </w:r>
      <w:r>
        <w:rPr>
          <w:sz w:val="24"/>
          <w:szCs w:val="24"/>
        </w:rPr>
        <w:t xml:space="preserve">а участие в закупке и при заключении договора</w:t>
      </w:r>
      <w:r>
        <w:rPr>
          <w:sz w:val="24"/>
          <w:szCs w:val="24"/>
        </w:rPr>
      </w:r>
      <w:bookmarkEnd w:id="219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23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</w:t>
      </w:r>
      <w:r>
        <w:rPr>
          <w:rFonts w:ascii="Times New Roman" w:hAnsi="Times New Roman" w:cs="Times New Roman"/>
          <w:b w:val="0"/>
          <w:bCs w:val="0"/>
        </w:rPr>
        <w:t xml:space="preserve">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num" w:pos="0" w:leader="none"/>
          <w:tab w:val="clear" w:pos="576" w:leader="none"/>
        </w:tabs>
      </w:pPr>
      <w:r/>
      <w:bookmarkStart w:id="220" w:name="_Toc10"/>
      <w:r/>
      <w:bookmarkStart w:id="26" w:name="_Hlk188373250"/>
      <w:r/>
      <w:bookmarkEnd w:id="11"/>
      <w:r>
        <w:rPr>
          <w:sz w:val="24"/>
          <w:szCs w:val="24"/>
        </w:rPr>
        <w:t xml:space="preserve">Предоставление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</w:t>
      </w:r>
      <w:r>
        <w:rPr>
          <w:sz w:val="24"/>
          <w:szCs w:val="24"/>
        </w:rPr>
        <w:t xml:space="preserve">и видами юридических лиц</w:t>
      </w:r>
      <w:r/>
      <w:bookmarkEnd w:id="220"/>
      <w:r/>
      <w:r/>
    </w:p>
    <w:p>
      <w:pPr>
        <w:pStyle w:val="1219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 или ограничение закупки работ, услуг, соответственно выполняемых, оказываемых иностранными лицами, устанавливаются в пункте </w:t>
      </w:r>
      <w:hyperlink w:tooltip="#_Сведения_о_предоставлении" w:anchor="_Информация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12 части II «ИНФОРМАЦИОННОЙ КАРТЫ ЗА</w:t>
        </w:r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в соответствии c требованиями п. 4.5 </w:t>
      </w:r>
      <w:hyperlink r:id="rId20" w:tooltip="https://zakupki.gov.ru/epz/orderclause/card/common-info.html?orderClauseInfoId=967865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Единого стандарта з</w:t>
        </w:r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акупок ПАО «Россети»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и </w:t>
      </w:r>
      <w:hyperlink r:id="rId21" w:tooltip="https://www.consultant.ru/document/cons_doc_LAW_494318/92d969e26a4326c5d02fa79b8f9cf4994ee5633b/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Постановления Прав</w:t>
        </w:r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ительства РФ от 23.12.2024 № 1875 «О мерах по предоставлению национального режима при осуществлении </w:t>
        </w:r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</w:t>
      </w:r>
      <w:r>
        <w:rPr>
          <w:rFonts w:ascii="Times New Roman" w:hAnsi="Times New Roman" w:cs="Times New Roman"/>
          <w:b w:val="0"/>
          <w:bCs w:val="0"/>
        </w:rPr>
        <w:t xml:space="preserve">– ПП 1875).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num" w:pos="0" w:leader="none"/>
          <w:tab w:val="clear" w:pos="576" w:leader="none"/>
        </w:tabs>
        <w:rPr>
          <w:b w:val="0"/>
        </w:rPr>
      </w:pPr>
      <w:r/>
      <w:bookmarkStart w:id="221" w:name="_Toc11"/>
      <w:r>
        <w:rPr>
          <w:sz w:val="24"/>
          <w:szCs w:val="24"/>
        </w:rPr>
        <w:t xml:space="preserve">Антимонопольная оговорка</w:t>
      </w:r>
      <w:r>
        <w:rPr>
          <w:b w:val="0"/>
        </w:rPr>
      </w:r>
      <w:bookmarkEnd w:id="221"/>
      <w:r/>
      <w:r>
        <w:rPr>
          <w:b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может ознакомиться с Политикой антимонопольного комплаенса АО «Россети Янтарь», представленной в разделе «Политика антимонопольного комплаенса» на официальном сайте АО «Россети Янтарь» по адресу в сети Интернет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hyperlink r:id="rId22" w:tooltip="https://www.rosseti-yantar.ru/about/politiks/antimonopolnyy-komplaens/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https://www.rosseti-yantar.ru/about/politiks/antimonopolnyy-komplaens/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Антимонополь</w:t>
      </w:r>
      <w:r>
        <w:rPr>
          <w:rFonts w:ascii="Times New Roman" w:hAnsi="Times New Roman" w:cs="Times New Roman"/>
          <w:b w:val="0"/>
          <w:bCs w:val="0"/>
        </w:rPr>
        <w:t xml:space="preserve">ная политика).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при принятии участия в настоящей закупочной процедуре, его работники, представители, учитывают требования действующего Федерального закона от 26.07.2006 № 135-ФЗ «О защите конкуренции», а также иных федеральных законов, нормативных </w:t>
      </w:r>
      <w:r>
        <w:rPr>
          <w:rFonts w:ascii="Times New Roman" w:hAnsi="Times New Roman" w:cs="Times New Roman"/>
          <w:b w:val="0"/>
          <w:bCs w:val="0"/>
        </w:rPr>
        <w:t xml:space="preserve">правовых актов, регулирующих отношения, связанные с защитой конкуренции, предупреждением и пресечением монополистической деятельности и недобросовестной конкуренции (далее- Антимонопольное законодательство), Федерального закона от 18.07.2011 № 223-ФЗ «О за</w:t>
      </w:r>
      <w:r>
        <w:rPr>
          <w:rFonts w:ascii="Times New Roman" w:hAnsi="Times New Roman" w:cs="Times New Roman"/>
          <w:b w:val="0"/>
          <w:bCs w:val="0"/>
        </w:rPr>
        <w:t xml:space="preserve">купках товаров, работ, услуг отдельными видами юридических лиц», неукоснительно ими руководствуются и осознают серьезность последствий, к которым может привести их несоблюдение.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возникновения у Участника подозрений, что произошло или может произой</w:t>
      </w:r>
      <w:r>
        <w:rPr>
          <w:rFonts w:ascii="Times New Roman" w:hAnsi="Times New Roman" w:cs="Times New Roman"/>
          <w:b w:val="0"/>
          <w:bCs w:val="0"/>
        </w:rPr>
        <w:t xml:space="preserve">ти нарушение каких-либо положений Антимонопольного законодательства, либо Закона 223-ФЗ, он обязуется уведомить об этом Организатора закупки в письменной форме. В письменном уведомлении Сторона обязана сослаться на факты или предоставить материалы, достове</w:t>
      </w:r>
      <w:r>
        <w:rPr>
          <w:rFonts w:ascii="Times New Roman" w:hAnsi="Times New Roman" w:cs="Times New Roman"/>
          <w:b w:val="0"/>
          <w:bCs w:val="0"/>
        </w:rPr>
        <w:t xml:space="preserve">рно подтверждающие или дающие основание предполагать, что произошло или может произойти нарушение каких-либо положений Антимонопольного законодательства со стороны Организатора закупки, его аффилированных лиц, работников или посредников.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Направить уведомле</w:t>
      </w:r>
      <w:r>
        <w:rPr>
          <w:rFonts w:ascii="Times New Roman" w:hAnsi="Times New Roman" w:cs="Times New Roman"/>
          <w:b w:val="0"/>
          <w:bCs w:val="0"/>
        </w:rPr>
        <w:t xml:space="preserve">ние АО «Россети Янтарь» можно почтой по адресу: 236035, а/я 5065 или через форму обратной связи на сайте Общества.</w:t>
      </w:r>
      <w:bookmarkEnd w:id="26"/>
      <w:r>
        <w:rPr>
          <w:b w:val="0"/>
        </w:rPr>
      </w:r>
      <w:r>
        <w:rPr>
          <w:b w:val="0"/>
        </w:rPr>
      </w:r>
    </w:p>
    <w:p>
      <w:pPr>
        <w:pStyle w:val="1530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217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2" w:name="_Toc12"/>
      <w:r>
        <w:rPr>
          <w:sz w:val="24"/>
          <w:szCs w:val="24"/>
        </w:rPr>
        <w:t xml:space="preserve">ДОКУМЕНТАЦИЯ О ЗАКУПКЕ</w:t>
      </w:r>
      <w:r>
        <w:rPr>
          <w:sz w:val="24"/>
          <w:szCs w:val="24"/>
        </w:rPr>
      </w:r>
      <w:bookmarkEnd w:id="222"/>
      <w:r/>
      <w:r>
        <w:rPr>
          <w:sz w:val="24"/>
          <w:szCs w:val="24"/>
        </w:rPr>
      </w:r>
    </w:p>
    <w:p>
      <w:pPr>
        <w:pStyle w:val="1218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23" w:name="_Toc13"/>
      <w:r/>
      <w:bookmarkStart w:id="29" w:name="_Ref11225592"/>
      <w:r>
        <w:rPr>
          <w:sz w:val="24"/>
          <w:szCs w:val="24"/>
        </w:rPr>
        <w:t xml:space="preserve">Предоставление документации</w:t>
      </w:r>
      <w:bookmarkEnd w:id="29"/>
      <w:r>
        <w:rPr>
          <w:sz w:val="24"/>
          <w:szCs w:val="24"/>
        </w:rPr>
        <w:t xml:space="preserve"> о закупке</w:t>
      </w:r>
      <w:r>
        <w:rPr>
          <w:sz w:val="24"/>
          <w:szCs w:val="24"/>
        </w:rPr>
      </w:r>
      <w:bookmarkEnd w:id="223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hyperlink r:id="rId23" w:tooltip="www.zakupki.gov.ru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www.zakupki.gov.ru</w:t>
        </w:r>
      </w:hyperlink>
      <w:r>
        <w:rPr>
          <w:rFonts w:ascii="Times New Roman" w:hAnsi="Times New Roman" w:cs="Times New Roman"/>
          <w:b w:val="0"/>
          <w:bCs w:val="0"/>
        </w:rPr>
        <w:t xml:space="preserve">, а также на сайте электронной торговой площадки (далее – ЭТП), указанной в пункте </w:t>
      </w:r>
      <w:hyperlink w:tooltip="#_Адрес_электронной_площадки" w:anchor="_Адрес_электронной_площадки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10 части II «ИНФОРМАЦ</w:t>
        </w:r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31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8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24" w:name="_Toc14"/>
      <w:r>
        <w:rPr>
          <w:sz w:val="24"/>
          <w:szCs w:val="24"/>
        </w:rPr>
        <w:t xml:space="preserve">Разъяснение положений документации о закупке</w:t>
      </w:r>
      <w:r>
        <w:rPr>
          <w:sz w:val="24"/>
          <w:szCs w:val="24"/>
        </w:rPr>
      </w:r>
      <w:bookmarkEnd w:id="224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3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средствами электронной площадки Заказчику запрос о даче разъяснений положений документации о закупке. Порядок подачи запроса на разъяснения положений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ЭТП</w:t>
      </w:r>
      <w:r>
        <w:rPr>
          <w:rFonts w:ascii="Times New Roman" w:hAnsi="Times New Roman" w:cs="Times New Roman"/>
          <w:b w:val="0"/>
          <w:bCs w:val="0"/>
        </w:rPr>
        <w:t xml:space="preserve">. Дата и</w:t>
      </w:r>
      <w:r>
        <w:rPr>
          <w:rFonts w:ascii="Times New Roman" w:hAnsi="Times New Roman" w:cs="Times New Roman"/>
          <w:b w:val="0"/>
          <w:bCs w:val="0"/>
        </w:rPr>
        <w:t xml:space="preserve"> время окончания срока предоставления участникам закупки разъяснений положений документации о закупке указаны в пункте </w:t>
      </w:r>
      <w:hyperlink w:tooltip="#_Порядок,_дата_начала," w:anchor="_Порядок,_дата_начала,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</w:t>
      </w:r>
      <w:r>
        <w:rPr>
          <w:rFonts w:ascii="Times New Roman" w:hAnsi="Times New Roman" w:cs="Times New Roman"/>
          <w:b w:val="0"/>
          <w:bCs w:val="0"/>
        </w:rPr>
        <w:t xml:space="preserve">дней с даты поступления запроса, Заказчик осуществляет разъяснение положений документации о закупке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</w:t>
      </w:r>
      <w:r>
        <w:rPr>
          <w:rFonts w:ascii="Times New Roman" w:hAnsi="Times New Roman" w:cs="Times New Roman"/>
          <w:b w:val="0"/>
          <w:bCs w:val="0"/>
        </w:rPr>
        <w:t xml:space="preserve">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33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</w:t>
      </w:r>
      <w:r>
        <w:rPr>
          <w:rFonts w:ascii="Times New Roman" w:hAnsi="Times New Roman" w:cs="Times New Roman"/>
          <w:b w:val="0"/>
          <w:bCs w:val="0"/>
        </w:rPr>
        <w:t xml:space="preserve">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25" w:name="_Toc15"/>
      <w:r/>
      <w:bookmarkStart w:id="34" w:name="_Ref119429410"/>
      <w:r>
        <w:rPr>
          <w:sz w:val="24"/>
          <w:szCs w:val="24"/>
        </w:rPr>
        <w:t xml:space="preserve">Внесение изменений в извещение о </w:t>
      </w:r>
      <w:bookmarkEnd w:id="34"/>
      <w:r>
        <w:rPr>
          <w:sz w:val="24"/>
          <w:szCs w:val="24"/>
        </w:rPr>
        <w:t xml:space="preserve">закупке и/или документацию о закупке</w:t>
      </w:r>
      <w:r>
        <w:rPr>
          <w:sz w:val="24"/>
          <w:szCs w:val="24"/>
        </w:rPr>
      </w:r>
      <w:bookmarkEnd w:id="225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</w:t>
      </w:r>
      <w:r>
        <w:rPr>
          <w:rFonts w:ascii="Times New Roman" w:hAnsi="Times New Roman" w:cs="Times New Roman"/>
          <w:b w:val="0"/>
        </w:rPr>
        <w:t xml:space="preserve"> вносимые в извещение о закупке и/или документацию о закупке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</w:t>
      </w:r>
      <w:r>
        <w:rPr>
          <w:rFonts w:ascii="Times New Roman" w:hAnsi="Times New Roman" w:cs="Times New Roman"/>
          <w:b w:val="0"/>
        </w:rPr>
        <w:t xml:space="preserve">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</w:t>
      </w:r>
      <w:r>
        <w:rPr>
          <w:rFonts w:ascii="Times New Roman" w:hAnsi="Times New Roman" w:cs="Times New Roman"/>
          <w:b w:val="0"/>
          <w:bCs w:val="0"/>
        </w:rPr>
        <w:t xml:space="preserve">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8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226" w:name="_Toc16"/>
      <w:r>
        <w:rPr>
          <w:sz w:val="24"/>
          <w:szCs w:val="24"/>
        </w:rPr>
        <w:t xml:space="preserve">Отмена закупки</w:t>
      </w:r>
      <w:r>
        <w:rPr>
          <w:sz w:val="24"/>
          <w:szCs w:val="24"/>
        </w:rPr>
      </w:r>
      <w:bookmarkEnd w:id="226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7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</w:t>
      </w:r>
      <w:r>
        <w:rPr>
          <w:rFonts w:ascii="Times New Roman" w:hAnsi="Times New Roman" w:cs="Times New Roman"/>
          <w:b w:val="0"/>
          <w:bCs w:val="0"/>
        </w:rPr>
        <w:t xml:space="preserve">) до наступления даты и времени окончания срока подачи заявок на участие в закупке.</w:t>
      </w:r>
      <w:bookmarkEnd w:id="3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8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</w:t>
      </w:r>
      <w:r>
        <w:rPr>
          <w:rFonts w:ascii="Times New Roman" w:hAnsi="Times New Roman" w:cs="Times New Roman"/>
          <w:b w:val="0"/>
          <w:bCs w:val="0"/>
        </w:rPr>
        <w:t xml:space="preserve">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1217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7" w:name="_Toc17"/>
      <w:r/>
      <w:bookmarkStart w:id="39" w:name="_ТРЕБОВАНИЯ_К_СОДЕРЖАНИЮ"/>
      <w:r/>
      <w:bookmarkStart w:id="40" w:name="_Ref166159542"/>
      <w:r/>
      <w:bookmarkStart w:id="41" w:name="_Ref166159546"/>
      <w:r/>
      <w:bookmarkStart w:id="42" w:name="_Ref166250138"/>
      <w:r/>
      <w:bookmarkStart w:id="43" w:name="_Ref166250141"/>
      <w:r/>
      <w:bookmarkEnd w:id="38"/>
      <w:r/>
      <w:bookmarkEnd w:id="39"/>
      <w:r>
        <w:rPr>
          <w:sz w:val="24"/>
          <w:szCs w:val="24"/>
        </w:rPr>
        <w:t xml:space="preserve">ТРЕБОВАНИЯ К СОДЕРЖАНИЮ ЗАЯВКИ НА УЧАСТИЕ В </w:t>
      </w:r>
      <w:bookmarkEnd w:id="40"/>
      <w:r/>
      <w:bookmarkEnd w:id="41"/>
      <w:r/>
      <w:bookmarkEnd w:id="42"/>
      <w:r/>
      <w:bookmarkEnd w:id="43"/>
      <w:r>
        <w:rPr>
          <w:sz w:val="24"/>
          <w:szCs w:val="24"/>
        </w:rPr>
        <w:t xml:space="preserve">ЗАКУПКЕ</w:t>
      </w:r>
      <w:r>
        <w:rPr>
          <w:sz w:val="24"/>
          <w:szCs w:val="24"/>
        </w:rPr>
      </w:r>
      <w:bookmarkEnd w:id="227"/>
      <w:r/>
      <w:r>
        <w:rPr>
          <w:sz w:val="24"/>
          <w:szCs w:val="24"/>
        </w:rPr>
      </w:r>
    </w:p>
    <w:p>
      <w:pPr>
        <w:pStyle w:val="1218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228" w:name="_Toc18"/>
      <w:r>
        <w:rPr>
          <w:sz w:val="24"/>
          <w:szCs w:val="24"/>
        </w:rPr>
        <w:t xml:space="preserve">Требования к оформлению заявки на участие в закупке</w:t>
      </w:r>
      <w:r>
        <w:rPr>
          <w:sz w:val="24"/>
          <w:szCs w:val="24"/>
        </w:rPr>
      </w:r>
      <w:bookmarkEnd w:id="228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6" w:name="_Ref166246797"/>
      <w:r/>
      <w:bookmarkStart w:id="47" w:name="_Ref119429784"/>
      <w:r/>
      <w:bookmarkStart w:id="48" w:name="_Ref119429817"/>
      <w:r/>
      <w:bookmarkStart w:id="49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</w:t>
      </w:r>
      <w:r>
        <w:rPr>
          <w:rFonts w:ascii="Times New Roman" w:hAnsi="Times New Roman" w:cs="Times New Roman"/>
          <w:b w:val="0"/>
          <w:bCs w:val="0"/>
        </w:rPr>
        <w:t xml:space="preserve">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</w:t>
      </w:r>
      <w:r>
        <w:rPr>
          <w:rFonts w:ascii="Times New Roman" w:hAnsi="Times New Roman" w:cs="Times New Roman"/>
          <w:b w:val="0"/>
          <w:bCs w:val="0"/>
        </w:rPr>
        <w:t xml:space="preserve">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готовит заявку на участие в закупке в соответствии с требованиями </w:t>
      </w:r>
      <w:hyperlink w:tooltip="#_ТРЕБОВАНИЯ_К_СОДЕРЖАНИЮ" w:anchor="_ТРЕБОВАНИЯ_К_СОДЕРЖАНИЮ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раздела 3 «ТРЕБОВАНИЯ К СОДЕРЖАНИЮ ЗАЯВКИ НА УЧАСТИЕ В ЗАКУПКЕ»</w:t>
        </w:r>
        <w:r>
          <w:rPr>
            <w:rStyle w:val="1437"/>
            <w:rFonts w:ascii="Times New Roman" w:hAnsi="Times New Roman" w:cs="Times New Roman"/>
            <w:b w:val="0"/>
          </w:rPr>
          <w:t xml:space="preserve"> части </w:t>
        </w:r>
        <w:r>
          <w:rPr>
            <w:rStyle w:val="1437"/>
            <w:rFonts w:ascii="Times New Roman" w:hAnsi="Times New Roman" w:cs="Times New Roman"/>
            <w:b w:val="0"/>
            <w:lang w:val="en-US"/>
          </w:rPr>
          <w:t xml:space="preserve">I</w:t>
        </w:r>
        <w:r>
          <w:rPr>
            <w:rStyle w:val="1437"/>
            <w:rFonts w:ascii="Times New Roman" w:hAnsi="Times New Roman" w:cs="Times New Roman"/>
            <w:b w:val="0"/>
          </w:rPr>
          <w:t xml:space="preserve"> «ОБЩИЕ УСЛОВИЯ ПРОВЕДЕНИЯ ЗАКУПКИ»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hyperlink w:tooltip="#_ОБРАЗЦЫ_ФОРМ_ДЛЯ" w:anchor="_ОБРАЗЦЫ_ФОРМ_ДЛЯ" w:history="1">
        <w:r>
          <w:rPr>
            <w:rStyle w:val="1437"/>
            <w:rFonts w:ascii="Times New Roman" w:hAnsi="Times New Roman" w:cs="Times New Roman"/>
            <w:b w:val="0"/>
            <w:bCs w:val="0"/>
            <w:lang w:val="en-US"/>
          </w:rPr>
          <w:t xml:space="preserve">III</w:t>
        </w:r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 «ОБРАЗЦЫ ФОРМ ДЛЯ ЗАПОЛНЕНИЯ УЧАСТНИКАМИ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6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</w:t>
      </w:r>
      <w:r>
        <w:rPr>
          <w:rFonts w:ascii="Times New Roman" w:hAnsi="Times New Roman" w:cs="Times New Roman"/>
          <w:b w:val="0"/>
          <w:bCs w:val="0"/>
        </w:rPr>
        <w:t xml:space="preserve">ющих нормативных правовых актов, если иное не указано в части </w:t>
      </w:r>
      <w:hyperlink w:tooltip="#_ТЕХНИЧЕСКАЯ_ЧАСТЬ" w:anchor="_ТЕХНИЧЕСКАЯ_ЧАСТЬ" w:history="1">
        <w:r>
          <w:rPr>
            <w:rStyle w:val="1437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437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1475563"/>
      <w:r>
        <w:rPr>
          <w:rFonts w:ascii="Times New Roman" w:hAnsi="Times New Roman" w:cs="Times New Roman"/>
          <w:b w:val="0"/>
          <w:bCs w:val="0"/>
        </w:rPr>
        <w:t xml:space="preserve">Есл</w:t>
      </w:r>
      <w:r>
        <w:rPr>
          <w:rFonts w:ascii="Times New Roman" w:hAnsi="Times New Roman" w:cs="Times New Roman"/>
          <w:b w:val="0"/>
          <w:bCs w:val="0"/>
        </w:rPr>
        <w:t xml:space="preserve">и в документах, входящих в состав заявки на участие в закупке, </w:t>
      </w:r>
      <w:bookmarkEnd w:id="50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</w:t>
      </w:r>
      <w:r>
        <w:rPr>
          <w:rFonts w:ascii="Times New Roman" w:hAnsi="Times New Roman" w:cs="Times New Roman"/>
          <w:b w:val="0"/>
          <w:bCs w:val="0"/>
        </w:rPr>
        <w:t xml:space="preserve">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>
        <w:rPr>
          <w:rFonts w:ascii="Times New Roman" w:hAnsi="Times New Roman" w:cs="Times New Roman"/>
          <w:b w:val="0"/>
          <w:bCs w:val="0"/>
        </w:rPr>
        <w:t xml:space="preserve">закупке, должны быть заполнены по всем пунктам, за исключением пунктов, носящих рекомендательный характер.</w:t>
      </w:r>
      <w:bookmarkStart w:id="51" w:name="_Ref1663131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</w:t>
      </w:r>
      <w:r>
        <w:rPr>
          <w:rFonts w:ascii="Times New Roman" w:hAnsi="Times New Roman" w:cs="Times New Roman"/>
          <w:b w:val="0"/>
          <w:bCs w:val="0"/>
        </w:rPr>
        <w:t xml:space="preserve">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8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229" w:name="_Toc19"/>
      <w:r/>
      <w:bookmarkEnd w:id="51"/>
      <w:r>
        <w:rPr>
          <w:sz w:val="24"/>
          <w:szCs w:val="24"/>
        </w:rPr>
        <w:t xml:space="preserve">Язык документов, входящих в состав заявки на учас</w:t>
      </w:r>
      <w:r>
        <w:rPr>
          <w:sz w:val="24"/>
          <w:szCs w:val="24"/>
        </w:rPr>
        <w:t xml:space="preserve">тие в закупке</w:t>
      </w:r>
      <w:r>
        <w:rPr>
          <w:sz w:val="24"/>
          <w:szCs w:val="24"/>
        </w:rPr>
      </w:r>
      <w:bookmarkEnd w:id="229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</w:t>
      </w:r>
      <w:r>
        <w:rPr>
          <w:rFonts w:ascii="Times New Roman" w:hAnsi="Times New Roman" w:cs="Times New Roman"/>
          <w:b w:val="0"/>
          <w:bCs w:val="0"/>
        </w:rPr>
        <w:t xml:space="preserve">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0" w:name="_Toc20"/>
      <w:r>
        <w:rPr>
          <w:sz w:val="24"/>
          <w:szCs w:val="24"/>
        </w:rPr>
        <w:t xml:space="preserve">Требования к валюте заявки</w:t>
      </w:r>
      <w:r>
        <w:rPr>
          <w:sz w:val="24"/>
          <w:szCs w:val="24"/>
        </w:rPr>
      </w:r>
      <w:bookmarkEnd w:id="230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4" w:name="_Hlt517806775"/>
      <w:r/>
      <w:bookmarkStart w:id="55" w:name="_Ref52534291"/>
      <w:r/>
      <w:bookmarkEnd w:id="54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</w:t>
      </w:r>
      <w:r>
        <w:rPr>
          <w:rFonts w:ascii="Times New Roman" w:hAnsi="Times New Roman" w:cs="Times New Roman"/>
          <w:b w:val="0"/>
        </w:rPr>
        <w:t xml:space="preserve">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5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</w:t>
      </w:r>
      <w:r>
        <w:rPr>
          <w:rFonts w:ascii="Times New Roman" w:hAnsi="Times New Roman" w:cs="Times New Roman"/>
          <w:b w:val="0"/>
        </w:rPr>
        <w:t xml:space="preserve">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</w:t>
      </w:r>
      <w:r>
        <w:rPr>
          <w:rFonts w:ascii="Times New Roman" w:hAnsi="Times New Roman" w:cs="Times New Roman"/>
          <w:b w:val="0"/>
        </w:rPr>
        <w:t xml:space="preserve">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1" w:name="_Toc21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7"/>
      <w:r/>
      <w:bookmarkEnd w:id="48"/>
      <w:r/>
      <w:bookmarkEnd w:id="49"/>
      <w:r>
        <w:rPr>
          <w:sz w:val="24"/>
          <w:szCs w:val="24"/>
        </w:rPr>
      </w:r>
      <w:bookmarkEnd w:id="231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7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сведения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пункте </w:t>
      </w:r>
      <w:hyperlink w:tooltip="#_Сведения_и_документы," w:anchor="_Сведения_и_документы," w:history="1">
        <w:r>
          <w:rPr>
            <w:rStyle w:val="1437"/>
            <w:rFonts w:ascii="Times New Roman" w:hAnsi="Times New Roman" w:cs="Times New Roman"/>
            <w:b w:val="0"/>
          </w:rPr>
          <w:t xml:space="preserve">17 части II «ИНФОРМАЦИОННАЯ КАРТА </w:t>
        </w:r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ЗАКУПКИ</w:t>
        </w:r>
        <w:r>
          <w:rPr>
            <w:rStyle w:val="1437"/>
            <w:rFonts w:ascii="Times New Roman" w:hAnsi="Times New Roman" w:cs="Times New Roman"/>
            <w:b w:val="0"/>
          </w:rPr>
          <w:t xml:space="preserve">»</w:t>
        </w:r>
        <w:bookmarkEnd w:id="57"/>
      </w:hyperlink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</w:rPr>
        <w:t xml:space="preserve">Заявка должна быть действительна в течение срока, указанного участником закупки в письме о подаче оферты. В любом случае этот срок </w:t>
      </w:r>
      <w:r>
        <w:rPr>
          <w:rFonts w:ascii="Times New Roman" w:hAnsi="Times New Roman" w:cs="Times New Roman"/>
        </w:rPr>
        <w:t xml:space="preserve">не должен </w:t>
      </w:r>
      <w:r>
        <w:rPr>
          <w:rFonts w:ascii="Times New Roman" w:hAnsi="Times New Roman" w:cs="Times New Roman"/>
        </w:rPr>
        <w:t xml:space="preserve">быть менее, чем 90</w:t>
      </w:r>
      <w:r>
        <w:rPr>
          <w:rStyle w:val="1548"/>
          <w:rFonts w:ascii="Times New Roman" w:hAnsi="Times New Roman" w:cs="Times New Roman"/>
          <w:i w:val="0"/>
          <w:shd w:val="clear" w:color="auto" w:fill="auto"/>
        </w:rPr>
        <w:t xml:space="preserve"> </w:t>
      </w:r>
      <w:r>
        <w:rPr>
          <w:rFonts w:ascii="Times New Roman" w:hAnsi="Times New Roman" w:cs="Times New Roman"/>
        </w:rPr>
        <w:t xml:space="preserve">календарных дней со дня</w:t>
      </w:r>
      <w:r>
        <w:rPr>
          <w:rFonts w:ascii="Times New Roman" w:hAnsi="Times New Roman" w:cs="Times New Roman"/>
          <w:b w:val="0"/>
        </w:rPr>
        <w:t xml:space="preserve">, следующего за днем окончания подачи заявок, указанном в пункте </w:t>
      </w:r>
      <w:hyperlink w:tooltip="#_Дата_рассмотрения_предложений" w:anchor="_Дата_рассмотрения_предложений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пункте </w:t>
      </w:r>
      <w:hyperlink w:tooltip="#_Сведения_и_документы," w:anchor="_Сведения_и_документы," w:history="1">
        <w:r>
          <w:rPr>
            <w:rStyle w:val="1437"/>
            <w:rFonts w:ascii="Times New Roman" w:hAnsi="Times New Roman" w:cs="Times New Roman"/>
            <w:b w:val="0"/>
          </w:rPr>
          <w:t xml:space="preserve">17 </w:t>
        </w:r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Закупочная комиссия отклоняет заявку, поданную на участие в закупке.</w:t>
      </w:r>
      <w:bookmarkEnd w:id="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</w:t>
      </w:r>
      <w:r>
        <w:rPr>
          <w:rFonts w:ascii="Times New Roman" w:hAnsi="Times New Roman" w:cs="Times New Roman"/>
          <w:b w:val="0"/>
          <w:bCs w:val="0"/>
        </w:rPr>
        <w:t xml:space="preserve">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Помимо сведений и документов, уст</w:t>
      </w:r>
      <w:r>
        <w:rPr>
          <w:rFonts w:ascii="Times New Roman" w:hAnsi="Times New Roman" w:cs="Times New Roman"/>
          <w:b w:val="0"/>
          <w:bCs w:val="0"/>
        </w:rPr>
        <w:t xml:space="preserve">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</w:t>
      </w:r>
      <w:r>
        <w:rPr>
          <w:rFonts w:ascii="Times New Roman" w:hAnsi="Times New Roman" w:cs="Times New Roman"/>
          <w:b w:val="0"/>
          <w:bCs w:val="0"/>
        </w:rPr>
        <w:t xml:space="preserve">этих документов.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9" w:name="_3.4.5._В_с"/>
      <w:r/>
      <w:bookmarkStart w:id="60" w:name="_В_случае,_если"/>
      <w:r/>
      <w:bookmarkEnd w:id="59"/>
      <w:r/>
      <w:bookmarkEnd w:id="60"/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</w:t>
      </w:r>
      <w:r>
        <w:rPr>
          <w:rFonts w:ascii="Times New Roman" w:hAnsi="Times New Roman" w:cs="Times New Roman"/>
          <w:b w:val="0"/>
          <w:bCs w:val="0"/>
        </w:rPr>
        <w:t xml:space="preserve">соотв</w:t>
      </w:r>
      <w:r>
        <w:rPr>
          <w:rFonts w:ascii="Times New Roman" w:hAnsi="Times New Roman" w:cs="Times New Roman"/>
          <w:b w:val="0"/>
          <w:bCs w:val="0"/>
        </w:rPr>
        <w:t xml:space="preserve">етствующее нормам Гражданского кодекса Российской Федерации, и отвечающее следующим требованиям: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530"/>
        <w:numPr>
          <w:ilvl w:val="0"/>
          <w:numId w:val="8"/>
        </w:numPr>
        <w:ind w:left="0" w:firstLine="567"/>
        <w:jc w:val="both"/>
      </w:pPr>
      <w:r>
        <w:t xml:space="preserve">в соглашении должны быть четко определены права и обязанности сторон как в рамках участия в закупочной процедуре, так и в рамк</w:t>
      </w:r>
      <w:r>
        <w:t xml:space="preserve">ах исполнения договора, заключаемого по ее результатам;</w:t>
      </w:r>
      <w:r/>
    </w:p>
    <w:p>
      <w:pPr>
        <w:pStyle w:val="1530"/>
        <w:numPr>
          <w:ilvl w:val="0"/>
          <w:numId w:val="8"/>
        </w:numPr>
        <w:ind w:left="0" w:firstLine="567"/>
        <w:jc w:val="both"/>
      </w:pPr>
      <w:r>
        <w:t xml:space="preserve">в соглашении должно быть приведено распределение объемов, стоимости (в процентах) и сроков выполнения работ/услуг/поставок между членами коллективного участника;</w:t>
      </w:r>
      <w:r/>
    </w:p>
    <w:p>
      <w:pPr>
        <w:pStyle w:val="1530"/>
        <w:numPr>
          <w:ilvl w:val="0"/>
          <w:numId w:val="8"/>
        </w:numPr>
        <w:ind w:left="0" w:firstLine="567"/>
        <w:jc w:val="both"/>
      </w:pPr>
      <w:r>
        <w:t xml:space="preserve">в соглашении должен быть определен лид</w:t>
      </w:r>
      <w:r>
        <w:t xml:space="preserve">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</w:r>
      <w:r/>
    </w:p>
    <w:p>
      <w:pPr>
        <w:pStyle w:val="1530"/>
        <w:numPr>
          <w:ilvl w:val="0"/>
          <w:numId w:val="8"/>
        </w:numPr>
        <w:ind w:left="0" w:firstLine="567"/>
        <w:jc w:val="both"/>
      </w:pPr>
      <w:r>
        <w:t xml:space="preserve">в соглашении должна быть установлена субсидиарная ответственность каждого члена коллективного участника по обязат</w:t>
      </w:r>
      <w:r>
        <w:t xml:space="preserve">ельствам, связанным с участием в закупочной процедуре, и солидарная ответственность за своевременное и полное исполнение договора;</w:t>
      </w:r>
      <w:r/>
    </w:p>
    <w:p>
      <w:pPr>
        <w:pStyle w:val="1530"/>
        <w:numPr>
          <w:ilvl w:val="0"/>
          <w:numId w:val="8"/>
        </w:numPr>
        <w:ind w:left="0" w:firstLine="567"/>
        <w:jc w:val="both"/>
      </w:pPr>
      <w:r>
        <w:t xml:space="preserve">соглашением должно быть предусмотрено, что все операции по выполнению договора в целом, включая платежи, совершаются исключит</w:t>
      </w:r>
      <w:r>
        <w:t xml:space="preserve">ельно с лидером, однако, по желанию заказчика или по его инициативе, данная схема может быть изменена;</w:t>
      </w:r>
      <w:r/>
    </w:p>
    <w:p>
      <w:pPr>
        <w:pStyle w:val="1530"/>
        <w:numPr>
          <w:ilvl w:val="0"/>
          <w:numId w:val="8"/>
        </w:numPr>
        <w:ind w:left="0" w:firstLine="567"/>
        <w:jc w:val="both"/>
        <w:rPr>
          <w:bCs/>
        </w:rPr>
      </w:pPr>
      <w:r>
        <w:t xml:space="preserve">срок действия соглашения должен быть не менее, чем срок действия договора.</w:t>
      </w:r>
      <w:r>
        <w:rPr>
          <w:bCs/>
        </w:rPr>
      </w:r>
      <w:r>
        <w:rPr>
          <w:bCs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1" w:name="_3.4.6._В_с"/>
      <w:r/>
      <w:bookmarkStart w:id="62" w:name="_В_случае,_если_1"/>
      <w:r/>
      <w:bookmarkEnd w:id="61"/>
      <w:r/>
      <w:bookmarkEnd w:id="62"/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 </w:t>
      </w:r>
      <w:r>
        <w:rPr>
          <w:rFonts w:ascii="Times New Roman" w:hAnsi="Times New Roman" w:cs="Times New Roman"/>
          <w:b w:val="0"/>
          <w:bCs w:val="0"/>
        </w:rPr>
        <w:t xml:space="preserve">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530"/>
        <w:numPr>
          <w:ilvl w:val="0"/>
          <w:numId w:val="8"/>
        </w:numPr>
        <w:ind w:left="0" w:firstLine="567"/>
        <w:jc w:val="both"/>
      </w:pPr>
      <w:r>
        <w:t xml:space="preserve">заявка должна включать документы, подтверждающие соответствие коллективного участника установленным требованиям;</w:t>
      </w:r>
      <w:r/>
    </w:p>
    <w:p>
      <w:pPr>
        <w:pStyle w:val="1530"/>
        <w:numPr>
          <w:ilvl w:val="0"/>
          <w:numId w:val="8"/>
        </w:numPr>
        <w:ind w:left="0" w:firstLine="567"/>
        <w:jc w:val="both"/>
        <w:rPr>
          <w:rStyle w:val="1437"/>
          <w:bCs/>
        </w:rPr>
      </w:pPr>
      <w:r>
        <w:t xml:space="preserve">в отношении каждого из членов колле</w:t>
      </w:r>
      <w:r>
        <w:t xml:space="preserve">ктивного участника предоставляются документы и сведения, предусмотренные пунктом </w:t>
      </w:r>
      <w:hyperlink w:tooltip="#_Сведения_и_документы," w:anchor="_Сведения_и_документы," w:history="1">
        <w:r>
          <w:rPr>
            <w:rStyle w:val="1437"/>
          </w:rPr>
          <w:t xml:space="preserve">17 части II «ИНФОРМАЦИОННАЯ КАРТА ЗАКУПКИ»</w:t>
        </w:r>
      </w:hyperlink>
      <w:r>
        <w:rPr>
          <w:rStyle w:val="1437"/>
          <w:bCs/>
          <w:color w:val="000000" w:themeColor="text1"/>
          <w:u w:val="none"/>
        </w:rPr>
        <w:t xml:space="preserve">.</w:t>
      </w:r>
      <w:r>
        <w:rPr>
          <w:rStyle w:val="1437"/>
          <w:bCs/>
        </w:rPr>
      </w:r>
      <w:r>
        <w:rPr>
          <w:rStyle w:val="1437"/>
          <w:bCs/>
        </w:rPr>
      </w:r>
    </w:p>
    <w:p>
      <w:pPr>
        <w:pStyle w:val="1530"/>
        <w:numPr>
          <w:ilvl w:val="0"/>
          <w:numId w:val="8"/>
        </w:numPr>
        <w:ind w:left="0" w:firstLine="567"/>
        <w:jc w:val="both"/>
      </w:pPr>
      <w:r>
        <w:t xml:space="preserve">заявка подготавливается и подается лидером от своего имени с</w:t>
      </w:r>
      <w:r>
        <w:t xml:space="preserve">о ссылкой на то, что он представляет интересы коллективного участника;</w:t>
      </w:r>
      <w:r/>
    </w:p>
    <w:p>
      <w:pPr>
        <w:pStyle w:val="1530"/>
        <w:numPr>
          <w:ilvl w:val="0"/>
          <w:numId w:val="8"/>
        </w:numPr>
        <w:ind w:left="0" w:firstLine="567"/>
        <w:jc w:val="both"/>
      </w:pPr>
      <w:r>
        <w:t xml:space="preserve">в состав заявки дополнительно включается соглашение между членами коллективного участника.</w:t>
      </w:r>
      <w:r/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2" w:name="_Toc22"/>
      <w:r>
        <w:rPr>
          <w:sz w:val="24"/>
          <w:szCs w:val="24"/>
        </w:rPr>
        <w:t xml:space="preserve">Требования к описанию предложения участника закупки</w:t>
      </w:r>
      <w:r>
        <w:rPr>
          <w:sz w:val="24"/>
          <w:szCs w:val="24"/>
        </w:rPr>
      </w:r>
      <w:bookmarkEnd w:id="232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4" w:name="_Ref166314630"/>
      <w:r/>
      <w:bookmarkStart w:id="65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</w:t>
      </w:r>
      <w:r>
        <w:rPr>
          <w:rFonts w:ascii="Times New Roman" w:hAnsi="Times New Roman" w:cs="Times New Roman"/>
          <w:b w:val="0"/>
          <w:bCs w:val="0"/>
        </w:rPr>
        <w:t xml:space="preserve">упки, не может превышать начальную (максимальную) цену договора (цену лота), указанную в извещении закупке и в пункте </w:t>
      </w:r>
      <w:hyperlink w:tooltip="#_Сведения_о_начальной" w:anchor="_Сведения_о_начальной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64"/>
      <w:r>
        <w:rPr>
          <w:rFonts w:ascii="Times New Roman" w:hAnsi="Times New Roman" w:cs="Times New Roman"/>
          <w:b w:val="0"/>
          <w:bCs w:val="0"/>
        </w:rPr>
        <w:t xml:space="preserve">в случае, если уч</w:t>
      </w:r>
      <w:r>
        <w:rPr>
          <w:rFonts w:ascii="Times New Roman" w:hAnsi="Times New Roman" w:cs="Times New Roman"/>
          <w:b w:val="0"/>
          <w:bCs w:val="0"/>
        </w:rPr>
        <w:t xml:space="preserve">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</w:t>
      </w:r>
      <w:r>
        <w:rPr>
          <w:rFonts w:ascii="Times New Roman" w:hAnsi="Times New Roman" w:cs="Times New Roman"/>
          <w:b w:val="0"/>
          <w:bCs w:val="0"/>
        </w:rPr>
        <w:t xml:space="preserve"> (цену лота) без учета НДС.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6" w:name="_Ref126085783"/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</w:t>
      </w:r>
      <w:r>
        <w:rPr>
          <w:rFonts w:ascii="Times New Roman" w:hAnsi="Times New Roman" w:cs="Times New Roman"/>
          <w:b w:val="0"/>
          <w:bCs w:val="0"/>
        </w:rPr>
        <w:t xml:space="preserve">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>
        <w:rPr>
          <w:rFonts w:ascii="Times New Roman" w:hAnsi="Times New Roman" w:cs="Times New Roman"/>
          <w:b w:val="0"/>
        </w:rPr>
        <w:t xml:space="preserve"> если иное не установлено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</w:t>
      </w:r>
      <w:r>
        <w:rPr>
          <w:rFonts w:ascii="Times New Roman" w:hAnsi="Times New Roman" w:cs="Times New Roman"/>
          <w:b w:val="0"/>
          <w:bCs w:val="0"/>
        </w:rPr>
        <w:t xml:space="preserve">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530"/>
        <w:numPr>
          <w:ilvl w:val="2"/>
          <w:numId w:val="1"/>
        </w:numPr>
        <w:ind w:left="0" w:firstLine="567"/>
        <w:jc w:val="both"/>
      </w:pPr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 в документации о закупке может быт</w:t>
      </w:r>
      <w:r>
        <w:t xml:space="preserve">ь установлено, что при подаче ценовых предложений (цены предложения на переторжке (далее - дополнительных ценовых предложений)) путем снижения общей стоимости заявки участник не вправе </w:t>
      </w:r>
      <w:r>
        <w:t xml:space="preserve">превышать единичные расценки либо отдельные стоимостные позиции, первон</w:t>
      </w:r>
      <w:r>
        <w:t xml:space="preserve">ачально представленные им в заявке.</w:t>
      </w:r>
      <w:r/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</w:t>
      </w:r>
      <w:r>
        <w:rPr>
          <w:rFonts w:ascii="Times New Roman" w:hAnsi="Times New Roman" w:eastAsia="Calibri" w:cs="Times New Roman"/>
          <w:b w:val="0"/>
        </w:rPr>
        <w:t xml:space="preserve">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66"/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</w:t>
      </w:r>
      <w:r>
        <w:rPr>
          <w:rFonts w:ascii="Times New Roman" w:hAnsi="Times New Roman" w:cs="Times New Roman"/>
          <w:b w:val="0"/>
          <w:bCs w:val="0"/>
        </w:rPr>
        <w:t xml:space="preserve">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hyperlink w:tooltip="#_ТЕХНИЧЕСКАЯ_ЧАСТЬ" w:anchor="_ТЕХНИЧЕСКАЯ_ЧАСТЬ" w:history="1">
        <w:r>
          <w:rPr>
            <w:rStyle w:val="1437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437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по формами, установленными в части </w:t>
      </w:r>
      <w:hyperlink w:tooltip="#_РАЗДЕЛ_I_4_ОБРАЗЦЫ_ФОРМ_И_ДОКУМЕНТО" w:anchor="_РАЗДЕЛ_I_4_ОБРАЗЦЫ_ФОРМ_И_ДОКУМЕНТО" w:history="1">
        <w:r>
          <w:rPr>
            <w:rStyle w:val="1437"/>
            <w:rFonts w:ascii="Times New Roman" w:hAnsi="Times New Roman" w:cs="Times New Roman"/>
            <w:b w:val="0"/>
            <w:bCs w:val="0"/>
            <w:lang w:val="en-US"/>
          </w:rPr>
          <w:t xml:space="preserve">III</w:t>
        </w:r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 «ОБРАЗЦЫ ФОРМ ДЛЯ ЗАПОЛНЕНИЯ УЧАСТНИКАМИ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 ссылки в документации о закупке на конкретный тип продукции, производителя, носят лишь рекомендательный, а не обязательный характер. Участник закупки может п</w:t>
      </w:r>
      <w:r>
        <w:rPr>
          <w:rFonts w:ascii="Times New Roman" w:hAnsi="Times New Roman" w:cs="Times New Roman"/>
          <w:b w:val="0"/>
          <w:bCs w:val="0"/>
        </w:rPr>
        <w:t xml:space="preserve">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hyperlink w:tooltip="#_ТЕХНИЧЕСКАЯ_ЧАСТЬ" w:anchor="_ТЕХНИЧЕСКАЯ_ЧАСТЬ" w:history="1">
        <w:r>
          <w:rPr>
            <w:rStyle w:val="1437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437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7" w:name="_Hlk160542448"/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</w:t>
      </w:r>
      <w:bookmarkEnd w:id="67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</w:t>
      </w:r>
      <w:r>
        <w:rPr>
          <w:rFonts w:ascii="Times New Roman" w:hAnsi="Times New Roman" w:cs="Times New Roman"/>
          <w:b w:val="0"/>
          <w:bCs w:val="0"/>
        </w:rPr>
        <w:t xml:space="preserve">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</w:t>
      </w:r>
      <w:r>
        <w:rPr>
          <w:rFonts w:ascii="Times New Roman" w:hAnsi="Times New Roman" w:cs="Times New Roman"/>
          <w:b w:val="0"/>
          <w:bCs w:val="0"/>
        </w:rPr>
        <w:t xml:space="preserve">установленными  части </w:t>
      </w:r>
      <w:hyperlink w:tooltip="#_ТЕХНИЧЕСКАЯ_ЧАСТЬ" w:anchor="_ТЕХНИЧЕСКАЯ_ЧАСТЬ" w:history="1">
        <w:r>
          <w:rPr>
            <w:rStyle w:val="1437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437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</w:t>
      </w:r>
      <w:hyperlink w:tooltip="#_ТЕХНИЧЕСКАЯ_ЧАСТЬ" w:anchor="_ТЕХНИЧЕСКАЯ_ЧАСТЬ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V 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указаны товарные знаки, знаки обслуживани</w:t>
      </w:r>
      <w:r>
        <w:rPr>
          <w:rFonts w:ascii="Times New Roman" w:hAnsi="Times New Roman" w:cs="Times New Roman"/>
          <w:b w:val="0"/>
          <w:bCs w:val="0"/>
        </w:rPr>
        <w:t xml:space="preserve">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в случае предложения эквивалентной продукции при описании ее обяз</w:t>
      </w:r>
      <w:r>
        <w:rPr>
          <w:rFonts w:ascii="Times New Roman" w:hAnsi="Times New Roman" w:cs="Times New Roman"/>
          <w:b w:val="0"/>
          <w:bCs w:val="0"/>
        </w:rPr>
        <w:t xml:space="preserve">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3" w:name="_Toc23"/>
      <w:r/>
      <w:bookmarkStart w:id="68" w:name="_3.6._Требо"/>
      <w:r/>
      <w:bookmarkStart w:id="69" w:name="_Требования_к_обеспечению"/>
      <w:r/>
      <w:bookmarkStart w:id="70" w:name="_Ref119429503"/>
      <w:r/>
      <w:bookmarkEnd w:id="68"/>
      <w:r/>
      <w:bookmarkEnd w:id="65"/>
      <w:r/>
      <w:bookmarkEnd w:id="69"/>
      <w:r>
        <w:rPr>
          <w:sz w:val="24"/>
          <w:szCs w:val="24"/>
        </w:rPr>
        <w:t xml:space="preserve">Требования к обеспечению заявок на участи</w:t>
      </w:r>
      <w:r>
        <w:rPr>
          <w:sz w:val="24"/>
          <w:szCs w:val="24"/>
        </w:rPr>
        <w:t xml:space="preserve">е в закупке</w:t>
      </w:r>
      <w:bookmarkEnd w:id="70"/>
      <w:r>
        <w:rPr>
          <w:sz w:val="24"/>
          <w:szCs w:val="24"/>
        </w:rPr>
      </w:r>
      <w:bookmarkEnd w:id="233"/>
      <w:r/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/>
      <w:bookmarkStart w:id="72" w:name="_Возврат_участнику_закупки"/>
      <w:r/>
      <w:bookmarkStart w:id="73" w:name="_Ref535415072"/>
      <w:r/>
      <w:bookmarkEnd w:id="72"/>
      <w:r>
        <w:t xml:space="preserve">В случае если размер начальной (максимальной) цены закупки (цены лота) превышает 5 (пять) миллионов рублей с НДС Заказчик вправе установить в документации о закупке требование к обеспечению заявок на участие в закупке в размере не более 5 (пяти</w:t>
      </w:r>
      <w:r>
        <w:t xml:space="preserve">) процентов от начальной (максимальной) цены договора. Обеспечение заявки может быть представлено в форме внесения денежных средств или в форме независимой гарантии. Выбор способа обеспечения заявки на участие в закупке осуществляется участником закупки са</w:t>
      </w:r>
      <w:r>
        <w:t xml:space="preserve">мостоятельно. Предоставление обеспечения иным, не указанным в настоящей документации о закупке способом не допускается.</w:t>
      </w:r>
      <w:r/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hyperlink w:tooltip="#_Размер_обеспечения_заявок" w:anchor="_Размер_обеспечения_заявок" w:history="1">
        <w:r>
          <w:rPr>
            <w:color w:val="0000ff"/>
            <w:u w:val="single"/>
          </w:rPr>
          <w:t xml:space="preserve">11 части II «ИНФОРМАЦИОННАЯ КАРТА ЗАКУПКИ»</w:t>
        </w:r>
      </w:hyperlink>
      <w:r>
        <w:t xml:space="preserve">. </w:t>
      </w:r>
      <w:r/>
    </w:p>
    <w:p>
      <w:pPr>
        <w:numPr>
          <w:ilvl w:val="2"/>
          <w:numId w:val="1"/>
        </w:numPr>
        <w:ind w:left="0" w:firstLine="567"/>
        <w:spacing w:after="0"/>
        <w:rPr>
          <w:color w:val="0000ff"/>
          <w:u w:val="single"/>
        </w:rPr>
        <w:outlineLvl w:val="2"/>
      </w:pPr>
      <w:r>
        <w:t xml:space="preserve">Денежные средства вносятся участником закупки на Лицевой счет участника закупки, открытый оператором электронной площадки в соответствии с правилами, ус</w:t>
      </w:r>
      <w:r>
        <w:t xml:space="preserve">тановленными Регламентом работы ЭТП</w:t>
      </w:r>
      <w:r>
        <w:rPr>
          <w:bCs/>
        </w:rPr>
        <w:t xml:space="preserve">. Информация о перечислении средств на </w:t>
      </w:r>
      <w:r>
        <w:rPr>
          <w:bCs/>
        </w:rPr>
        <w:t xml:space="preserve">Лицевой счет ЭТП, либо на </w:t>
      </w:r>
      <w:r>
        <w:t xml:space="preserve">счет Заказчика установлена в пункте </w:t>
      </w:r>
      <w:hyperlink w:tooltip="#_Размер_обеспечения_заявок" w:anchor="_Размер_обеспечения_заявок" w:history="1">
        <w:r>
          <w:rPr>
            <w:color w:val="0000ff"/>
            <w:u w:val="single"/>
          </w:rPr>
          <w:t xml:space="preserve">11 части II «ИНФОРМАЦИОННАЯ КАРТА ЗАКУПКИ</w:t>
        </w:r>
        <w:r>
          <w:rPr>
            <w:color w:val="0000ff"/>
            <w:u w:val="single"/>
          </w:rPr>
          <w:t xml:space="preserve">»</w:t>
        </w:r>
      </w:hyperlink>
      <w:r>
        <w:rPr>
          <w:color w:val="0000ff"/>
          <w:u w:val="single"/>
        </w:rPr>
        <w:t xml:space="preserve">.</w:t>
      </w:r>
      <w:r>
        <w:rPr>
          <w:color w:val="0000ff"/>
          <w:u w:val="single"/>
        </w:rPr>
      </w:r>
      <w:r>
        <w:rPr>
          <w:color w:val="0000ff"/>
          <w:u w:val="single"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</w:t>
      </w:r>
      <w:r>
        <w:t xml:space="preserve">же Регламентом работы ЭТП. </w:t>
      </w:r>
      <w:r/>
    </w:p>
    <w:p>
      <w:pPr>
        <w:numPr>
          <w:ilvl w:val="2"/>
          <w:numId w:val="1"/>
        </w:numPr>
        <w:ind w:left="0" w:firstLine="567"/>
        <w:spacing w:after="0"/>
        <w:rPr>
          <w:bCs/>
        </w:rPr>
        <w:outlineLvl w:val="2"/>
      </w:pPr>
      <w:r>
        <w:rPr>
          <w:bCs/>
        </w:rPr>
        <w:t xml:space="preserve">  Денежные средства, внесенные на счет Заказчика в качестве обеспечения заявки на участие в закупке возвращаются: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18"/>
        </w:numPr>
        <w:ind w:left="0" w:firstLine="567"/>
        <w:spacing w:after="0"/>
        <w:tabs>
          <w:tab w:val="left" w:pos="1418" w:leader="none"/>
        </w:tabs>
        <w:rPr>
          <w:bCs/>
        </w:rPr>
        <w:outlineLvl w:val="2"/>
      </w:pPr>
      <w:r>
        <w:rPr>
          <w:bCs/>
        </w:rPr>
        <w:t xml:space="preserve">всем участникам закупки, за исключением участника закупки, заявке которого присвоен первый номер, в срок не более </w:t>
      </w:r>
      <w:r>
        <w:rPr>
          <w:bCs/>
        </w:rPr>
        <w:t xml:space="preserve">7 (семи) рабочих дней со дня подписания протокола, составленного по результатам закупки;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18"/>
        </w:numPr>
        <w:ind w:left="0" w:firstLine="567"/>
        <w:spacing w:after="0"/>
        <w:tabs>
          <w:tab w:val="left" w:pos="1418" w:leader="none"/>
        </w:tabs>
        <w:rPr>
          <w:bCs/>
        </w:rPr>
        <w:outlineLvl w:val="2"/>
      </w:pPr>
      <w:r>
        <w:rPr>
          <w:bCs/>
        </w:rPr>
        <w:t xml:space="preserve">участнику закупки, заявке которого присвоен первый номер, в срок не более 7 (семи) рабочих дней со дня заключения договора либо со дня предоставления таким участником </w:t>
      </w:r>
      <w:r>
        <w:rPr>
          <w:bCs/>
        </w:rPr>
        <w:t xml:space="preserve">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Возврат участнику закупки денежных средств, внесенных в качестве обеспечения </w:t>
      </w:r>
      <w:r>
        <w:t xml:space="preserve">заявки, не производится, а независимая гарантия предъявляется банку-гаранту для выплаты суммы обеспечения исполнения обязательств в следующих случаях:</w:t>
      </w:r>
      <w:bookmarkEnd w:id="73"/>
      <w:r/>
      <w:r/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документацией о закупк</w:t>
      </w:r>
      <w:r>
        <w:t xml:space="preserve">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</w:t>
      </w:r>
      <w:r>
        <w:t xml:space="preserve">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При выборе участником закупки способа обеспечения заявки в форме независимой гарантии участник должен предоставить независимую гарантию, составленную с учетом требований статей </w:t>
      </w:r>
      <w:hyperlink r:id="rId24" w:tooltip="https://www.consultant.ru/document/cons_doc_LAW_5142/03edc46b2ef855fddfaaa3d77dac1d071ef3dba1/" w:history="1">
        <w:r>
          <w:rPr>
            <w:color w:val="0000ff"/>
            <w:u w:val="single"/>
          </w:rPr>
          <w:t xml:space="preserve">368</w:t>
        </w:r>
      </w:hyperlink>
      <w:r>
        <w:t xml:space="preserve">-</w:t>
      </w:r>
      <w:hyperlink r:id="rId25" w:tooltip="https://www.consultant.ru/document/cons_doc_LAW_5142/e8b1dba1c6def4f632470a9857908caf60fec137/" w:history="1">
        <w:r>
          <w:rPr>
            <w:color w:val="0000ff"/>
            <w:u w:val="single"/>
          </w:rPr>
          <w:t xml:space="preserve">379</w:t>
        </w:r>
      </w:hyperlink>
      <w:r>
        <w:t xml:space="preserve"> Гражданского кодекса Российской Федерации и следующих условий: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rPr>
          <w:bCs/>
        </w:rPr>
        <w:t xml:space="preserve">независимая гарантия должна быть выдана гарант</w:t>
      </w:r>
      <w:r>
        <w:rPr>
          <w:bCs/>
        </w:rPr>
        <w:t xml:space="preserve">ом, предусмотренным </w:t>
      </w:r>
      <w:hyperlink r:id="rId26" w:tooltip="https://www.consultant.ru/document/cons_doc_LAW_144624/af90cad46f4484d18fa490ef1c9d7a3b2fd3be3b/#dst2441" w:anchor="dst2441" w:history="1">
        <w:r>
          <w:rPr>
            <w:rStyle w:val="1437"/>
            <w:bCs/>
          </w:rPr>
          <w:t xml:space="preserve">частью 1 статьи 45 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</w:r>
      </w:hyperlink>
      <w:r>
        <w:rPr>
          <w:bCs/>
        </w:rPr>
        <w:t xml:space="preserve">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независимая гарантия не может быть отозвана выдавшим ее гарантом;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срок </w:t>
      </w:r>
      <w:r>
        <w:t xml:space="preserve">действия независимой гарантии должен заканчиваться не ранее, чем через 60 календарных дней с даты окончания срока подачи заявок;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в независимой гарантии должно быть предусмотрена безусловная обязанность гаранта оплатить сумму независимой гарантии полностью </w:t>
      </w:r>
      <w:r>
        <w:t xml:space="preserve">или частично по письменному требованию бенефициара;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каких-либо документов за исключением:</w:t>
      </w:r>
      <w:r/>
    </w:p>
    <w:p>
      <w:pPr>
        <w:numPr>
          <w:ilvl w:val="0"/>
          <w:numId w:val="23"/>
        </w:numPr>
        <w:ind w:left="0" w:firstLine="567"/>
        <w:spacing w:after="0"/>
        <w:tabs>
          <w:tab w:val="left" w:pos="1418" w:leader="none"/>
        </w:tabs>
      </w:pPr>
      <w:r>
        <w:t xml:space="preserve">надлежащим образом оформленного требования бенефициара;</w:t>
      </w:r>
      <w:r/>
    </w:p>
    <w:p>
      <w:pPr>
        <w:numPr>
          <w:ilvl w:val="0"/>
          <w:numId w:val="23"/>
        </w:numPr>
        <w:ind w:left="0" w:firstLine="567"/>
        <w:spacing w:after="0"/>
        <w:tabs>
          <w:tab w:val="left" w:pos="1418" w:leader="none"/>
        </w:tabs>
      </w:pPr>
      <w:r>
        <w:t xml:space="preserve">документов, подтверждающих полномочия лица, подписавшего требование от имени бенефициара;</w:t>
      </w:r>
      <w:r/>
    </w:p>
    <w:p>
      <w:pPr>
        <w:numPr>
          <w:ilvl w:val="0"/>
          <w:numId w:val="23"/>
        </w:numPr>
        <w:ind w:left="0" w:firstLine="567"/>
        <w:spacing w:after="0"/>
        <w:tabs>
          <w:tab w:val="left" w:pos="1418" w:leader="none"/>
        </w:tabs>
      </w:pPr>
      <w:r>
        <w:t xml:space="preserve">перечисленных в явном виде в тексте независимой гарантии информационных справок, для заверения которых достато</w:t>
      </w:r>
      <w:r>
        <w:t xml:space="preserve">чно подписи представителя бенефициара.</w:t>
      </w:r>
      <w:r/>
    </w:p>
    <w:p>
      <w:pPr>
        <w:numPr>
          <w:ilvl w:val="2"/>
          <w:numId w:val="1"/>
        </w:numPr>
        <w:ind w:left="0" w:firstLine="567"/>
        <w:spacing w:after="0"/>
        <w:widowControl w:val="off"/>
        <w:rPr>
          <w:bCs/>
        </w:rPr>
        <w:outlineLvl w:val="2"/>
      </w:pPr>
      <w:r>
        <w:rPr>
          <w:bCs/>
        </w:rPr>
        <w:t xml:space="preserve">Гарант, выдающий независимую гарантию, должен отвечать всем нижеследующим требованиям: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19"/>
        </w:numPr>
        <w:ind w:left="0" w:firstLine="567"/>
        <w:spacing w:after="0"/>
      </w:pPr>
      <w:r>
        <w:rPr>
          <w:rStyle w:val="1576"/>
        </w:rPr>
        <w:t xml:space="preserve">кредитная организация обладает действующей лицензией на банковскую деятельность, выданной Банком России</w:t>
      </w:r>
      <w:r>
        <w:rPr>
          <w:rStyle w:val="1576"/>
          <w:vertAlign w:val="superscript"/>
        </w:rPr>
        <w:footnoteReference w:customMarkFollows="1" w:id="2"/>
        <w:t xml:space="preserve">1</w:t>
      </w:r>
      <w:r>
        <w:rPr>
          <w:rStyle w:val="1576"/>
        </w:rPr>
        <w:t xml:space="preserve">, и в отношении данной кре</w:t>
      </w:r>
      <w:r>
        <w:rPr>
          <w:rStyle w:val="1576"/>
        </w:rPr>
        <w:t xml:space="preserve">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>
        <w:rPr>
          <w:rStyle w:val="1576"/>
          <w:vertAlign w:val="superscript"/>
        </w:rPr>
        <w:footnoteReference w:customMarkFollows="1" w:id="3"/>
        <w:t xml:space="preserve">2</w:t>
      </w:r>
      <w:r>
        <w:t xml:space="preserve">;</w:t>
      </w:r>
      <w:r/>
    </w:p>
    <w:p>
      <w:pPr>
        <w:numPr>
          <w:ilvl w:val="0"/>
          <w:numId w:val="19"/>
        </w:numPr>
        <w:ind w:left="0" w:firstLine="567"/>
        <w:spacing w:after="0"/>
      </w:pPr>
      <w:r>
        <w:rPr>
          <w:rStyle w:val="1576"/>
        </w:rPr>
        <w:t xml:space="preserve">кредитная организация не находится в процессе слияния, присоединения, санации (финансово</w:t>
      </w:r>
      <w:r>
        <w:rPr>
          <w:rStyle w:val="1576"/>
        </w:rPr>
        <w:t xml:space="preserve">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</w:t>
      </w:r>
      <w:r>
        <w:rPr>
          <w:rStyle w:val="1576"/>
        </w:rPr>
        <w:t xml:space="preserve">и принято решение о гарантировании непрерывности деятельности банка</w:t>
      </w:r>
      <w:r>
        <w:t xml:space="preserve">;</w:t>
      </w:r>
      <w:r/>
    </w:p>
    <w:p>
      <w:pPr>
        <w:numPr>
          <w:ilvl w:val="0"/>
          <w:numId w:val="19"/>
        </w:numPr>
        <w:ind w:left="0" w:firstLine="567"/>
        <w:spacing w:after="0"/>
      </w:pPr>
      <w:r>
        <w:t xml:space="preserve">кредитная организация не находится в процессе ликвидации или банкротства;</w:t>
      </w:r>
      <w:r/>
    </w:p>
    <w:p>
      <w:pPr>
        <w:numPr>
          <w:ilvl w:val="0"/>
          <w:numId w:val="19"/>
        </w:numPr>
        <w:ind w:left="0" w:firstLine="567"/>
        <w:spacing w:after="0"/>
      </w:pPr>
      <w:r/>
      <w:bookmarkStart w:id="74" w:name="_Hlk183437361"/>
      <w:r>
        <w:t xml:space="preserve">кредитная организация входит в перечень кредитных организаций, соответствующих требованиям, установленным частями</w:t>
      </w:r>
      <w:r>
        <w:t xml:space="preserve"> 1 - 1.2 и 1.5 статьи 2 Федерального закона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 706;</w:t>
      </w:r>
      <w:r>
        <w:rPr>
          <w:rFonts w:eastAsia="Arial Unicode MS" w:cs="Arial Unicode MS"/>
          <w:color w:val="000000"/>
          <w:sz w:val="28"/>
          <w:szCs w:val="28"/>
        </w:rPr>
        <w:t xml:space="preserve"> </w:t>
      </w:r>
      <w:bookmarkEnd w:id="74"/>
      <w:r/>
      <w:r/>
    </w:p>
    <w:p>
      <w:pPr>
        <w:numPr>
          <w:ilvl w:val="0"/>
          <w:numId w:val="19"/>
        </w:numPr>
        <w:ind w:left="0" w:firstLine="567"/>
        <w:spacing w:after="0"/>
      </w:pPr>
      <w:r>
        <w:t xml:space="preserve">для ба</w:t>
      </w:r>
      <w:r>
        <w:t xml:space="preserve">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>
        <w:rPr>
          <w:vertAlign w:val="superscript"/>
        </w:rPr>
        <w:footnoteReference w:customMarkFollows="1" w:id="4"/>
        <w:t xml:space="preserve">3.</w:t>
      </w:r>
      <w:r/>
    </w:p>
    <w:p>
      <w:pPr>
        <w:numPr>
          <w:ilvl w:val="0"/>
          <w:numId w:val="19"/>
        </w:numPr>
        <w:ind w:left="0" w:firstLine="567"/>
        <w:spacing w:after="0"/>
      </w:pPr>
      <w:r>
        <w:rPr>
          <w:u w:val="single"/>
        </w:rPr>
        <w:t xml:space="preserve">Требования к банкам-гарантам для отдельных видов гарантий</w:t>
      </w:r>
      <w:r>
        <w:rPr>
          <w:u w:val="single"/>
          <w:vertAlign w:val="superscript"/>
        </w:rPr>
        <w:footnoteReference w:customMarkFollows="1" w:id="5"/>
        <w:t xml:space="preserve">4</w:t>
      </w:r>
      <w:r/>
    </w:p>
    <w:tbl>
      <w:tblPr>
        <w:tblW w:w="9359" w:type="dxa"/>
        <w:tblInd w:w="-5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9"/>
        <w:gridCol w:w="3260"/>
      </w:tblGrid>
      <w:tr>
        <w:tblPrEx/>
        <w:trPr>
          <w:trHeight w:val="75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9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Критерии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  <w:vertAlign w:val="superscript"/>
              </w:rPr>
              <w:footnoteReference w:customMarkFollows="1" w:id="6"/>
              <w:t xml:space="preserve">5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Независим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ая гарантия обеспечения заявки участника закупочной процедуры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9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Размер собственного капитала банка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footnoteReference w:customMarkFollows="1" w:id="7"/>
              <w:t xml:space="preserve">6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5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9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применяется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9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9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9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Наличие долгосрочного кредитного рейтинга (в соответствии с п. 3.6.8 ж)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применяется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</w:tbl>
    <w:p>
      <w:pPr>
        <w:ind w:left="567"/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numPr>
          <w:ilvl w:val="0"/>
          <w:numId w:val="19"/>
        </w:numPr>
        <w:ind w:left="0" w:firstLine="567"/>
        <w:spacing w:after="0"/>
        <w:rPr>
          <w:rFonts w:eastAsia="Arial Unicode MS" w:cs="Arial Unicode MS"/>
          <w:color w:val="000000"/>
        </w:rPr>
      </w:pPr>
      <w:r>
        <w:t xml:space="preserve">гарант имеет долгосрочный кредитный рейтинг по национальной шкале, присвоенный аккредитованными Банком России </w:t>
      </w:r>
      <w:r>
        <w:rPr>
          <w:rFonts w:eastAsia="Arial Unicode MS" w:cs="Arial Unicode MS"/>
          <w:color w:val="000000"/>
        </w:rPr>
        <w:t xml:space="preserve">рейтинговыми агентствами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8"/>
        <w:t xml:space="preserve">8</w:t>
      </w:r>
      <w:r>
        <w:rPr>
          <w:rFonts w:eastAsia="Arial Unicode MS" w:cs="Arial Unicode MS"/>
          <w:color w:val="000000"/>
        </w:rPr>
        <w:t xml:space="preserve">. При наличии у банка нескольких рейтингов учитывается наилучший. Требования к уровню рейтинга, приемлемого для принятия независимой гарантии, приведены ниже в таблице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9"/>
        <w:t xml:space="preserve">9</w:t>
      </w:r>
      <w:r>
        <w:rPr>
          <w:rFonts w:eastAsia="Arial Unicode MS" w:cs="Arial Unicode MS"/>
          <w:color w:val="000000"/>
        </w:rPr>
        <w:t xml:space="preserve">.</w:t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ind w:left="567"/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tbl>
      <w:tblPr>
        <w:tblW w:w="9408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6"/>
        <w:gridCol w:w="2409"/>
        <w:gridCol w:w="2268"/>
        <w:gridCol w:w="2295"/>
      </w:tblGrid>
      <w:tr>
        <w:tblPrEx/>
        <w:trPr>
          <w:jc w:val="center"/>
          <w:trHeight w:val="300"/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3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АКРА (АО)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АО «Эксперт РА»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14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ind w:left="-548" w:hanging="105"/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«НКР»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95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«НРА»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3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BBB-(RU)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ruBBB-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BBB-.ru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BBB-|ru|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</w:tr>
    </w:tbl>
    <w:p>
      <w:pPr>
        <w:ind w:left="567"/>
        <w:spacing w:after="0"/>
      </w:pPr>
      <w:r/>
      <w:r/>
    </w:p>
    <w:p>
      <w:pPr>
        <w:numPr>
          <w:ilvl w:val="0"/>
          <w:numId w:val="19"/>
        </w:numPr>
        <w:ind w:left="0" w:firstLine="567"/>
        <w:spacing w:after="0"/>
      </w:pPr>
      <w:r>
        <w:t xml:space="preserve">обеспечение заявки может быть оформлено в виде отдельной независимой гарантии по каждому лоту, либо в виде одной независимой гарантии на общую сумму гарантии по всем лотам, на которые участник подает заявки.</w:t>
      </w:r>
      <w:r/>
    </w:p>
    <w:p>
      <w:pPr>
        <w:numPr>
          <w:ilvl w:val="2"/>
          <w:numId w:val="1"/>
        </w:numPr>
        <w:ind w:left="0" w:firstLine="567"/>
        <w:spacing w:after="0"/>
        <w:rPr>
          <w:bCs/>
        </w:rPr>
        <w:outlineLvl w:val="2"/>
      </w:pPr>
      <w:r>
        <w:rPr>
          <w:bCs/>
        </w:rPr>
        <w:t xml:space="preserve">Вместе с гарантией участник представляет следующие документы подтверждающие полномочия лица, подписавшего гарантию от имени гаранта: доверенность на уполномоченное лицо, действующее от имени гаранта (оригинал/нотариально заверенная копия/копия, заверенная </w:t>
      </w:r>
      <w:r>
        <w:rPr>
          <w:bCs/>
        </w:rPr>
        <w:t xml:space="preserve">гарантом) (в случае если независимая гарантия подписана уполномоченным лицом, действующим от имени гаранта на основании доверенности), а также решение (выписка из протокола) уполномоченного органа управления гаранта о назначении (избрании) единоличного исп</w:t>
      </w:r>
      <w:r>
        <w:rPr>
          <w:bCs/>
        </w:rPr>
        <w:t xml:space="preserve">олнительного органа гаранта (копия, заверенная гарантом). 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</w:t>
      </w:r>
      <w:r>
        <w:rPr>
          <w:bCs/>
        </w:rPr>
        <w:t xml:space="preserve">веренная гарантом).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num" w:pos="312" w:leader="none"/>
          <w:tab w:val="clear" w:pos="454" w:leader="none"/>
        </w:tabs>
        <w:outlineLvl w:val="2"/>
      </w:pPr>
      <w:r>
        <w:t xml:space="preserve">Форма независимой гарантии, иные требования, связанные с независимой гарантией, установлены в части </w:t>
      </w:r>
      <w:hyperlink w:tooltip="#_VII._ТИПОВ" w:anchor="_VII._ТИПОВ" w:history="1">
        <w:r>
          <w:rPr>
            <w:rStyle w:val="1437"/>
          </w:rPr>
          <w:t xml:space="preserve">VII «ТИПОВЫЕ ФОРМЫ НЕЗАВИСИМЫХ ГАРАНТИЙ»</w:t>
        </w:r>
      </w:hyperlink>
      <w:r>
        <w:t xml:space="preserve">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num" w:pos="312" w:leader="none"/>
          <w:tab w:val="clear" w:pos="454" w:leader="none"/>
        </w:tabs>
        <w:outlineLvl w:val="2"/>
      </w:pPr>
      <w:r>
        <w:t xml:space="preserve">Независимая гарантия, может быть выдана в пис</w:t>
      </w:r>
      <w:r>
        <w:t xml:space="preserve">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  <w:r/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Несоответствие независимой гарантии, предоставленной участником закупки </w:t>
      </w:r>
      <w:r>
        <w:br/>
        <w:t xml:space="preserve">с требованиями, предусмотренными пунктом </w:t>
      </w:r>
      <w:hyperlink w:tooltip="#_3.6._Требо" w:anchor="_3.6._Требо" w:history="1">
        <w:r>
          <w:rPr>
            <w:rStyle w:val="1437"/>
          </w:rPr>
          <w:t xml:space="preserve">3.6</w:t>
        </w:r>
      </w:hyperlink>
      <w:r>
        <w:t xml:space="preserve"> Документации, является основанием для отказа в допуске к участию в закупке.</w:t>
      </w:r>
      <w:r/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Взыскание по независимой гарантии производится при наступлении обстоятельств, предусмотренных независимой гарантией.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4" w:name="_Toc24"/>
      <w:r/>
      <w:bookmarkStart w:id="75" w:name="_Порядок_действий,_осуществляемых"/>
      <w:r/>
      <w:bookmarkEnd w:id="75"/>
      <w:r>
        <w:rPr>
          <w:sz w:val="24"/>
          <w:szCs w:val="24"/>
        </w:rPr>
        <w:t xml:space="preserve">Порядок действий, осуществляемых Заказчиком в ходе проведения закупки, в случае предложения участником закупки аномально низкой цены </w:t>
      </w:r>
      <w:r>
        <w:rPr>
          <w:sz w:val="24"/>
          <w:szCs w:val="24"/>
        </w:rPr>
      </w:r>
      <w:bookmarkEnd w:id="234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hd w:val="clear" w:color="auto" w:fill="ffffff"/>
        </w:rPr>
        <w:t xml:space="preserve">Под аномально низкой ценой понимается снижение цены участником закупки относительно начальной (максимальной) цены договора</w:t>
      </w:r>
      <w:r>
        <w:rPr>
          <w:rFonts w:ascii="Times New Roman" w:hAnsi="Times New Roman" w:cs="Times New Roman"/>
          <w:b w:val="0"/>
          <w:bCs w:val="0"/>
          <w:color w:val="000000" w:themeColor="text1"/>
          <w:shd w:val="clear" w:color="auto" w:fill="ffffff"/>
        </w:rPr>
        <w:t xml:space="preserve"> (цены лота) или условной (максимальной) цены договора (в случае  заключения договора по результатам закупки фиксирующего номенклатуру продукции и единичные расценки на нее, и приобретение заказчиком товаров (работ, услуг) по фактической потребности из чис</w:t>
      </w:r>
      <w:r>
        <w:rPr>
          <w:rFonts w:ascii="Times New Roman" w:hAnsi="Times New Roman" w:cs="Times New Roman"/>
          <w:b w:val="0"/>
          <w:bCs w:val="0"/>
          <w:color w:val="000000" w:themeColor="text1"/>
          <w:shd w:val="clear" w:color="auto" w:fill="ffffff"/>
        </w:rPr>
        <w:t xml:space="preserve">ла установленной договором номенклатуры и по цене согласно установленным единичным расценкам), указанной в извещении о закупки и документации о закупке на 25 (двадцать пять) и более процентов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7" w:name="_3.7.2._В_с"/>
      <w:r/>
      <w:bookmarkStart w:id="78" w:name="_В_случае_если"/>
      <w:r/>
      <w:bookmarkEnd w:id="77"/>
      <w:r/>
      <w:bookmarkEnd w:id="78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</w:t>
      </w:r>
      <w:r>
        <w:rPr>
          <w:rFonts w:ascii="Times New Roman" w:hAnsi="Times New Roman" w:cs="Times New Roman"/>
          <w:b w:val="0"/>
        </w:rPr>
        <w:t xml:space="preserve">нным участником, признанным соответствующим требованиям извещения о закупке) признается участник, предложивший аномально низкое ценовое предложение, таким участником предоставляется обеспечение исполнения договора в следующем размере: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tbl>
      <w:tblPr>
        <w:tblW w:w="946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1826"/>
        <w:gridCol w:w="1700"/>
        <w:gridCol w:w="1702"/>
        <w:gridCol w:w="3793"/>
      </w:tblGrid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2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Матрица договорны</w:t>
            </w:r>
            <w:r>
              <w:rPr>
                <w:sz w:val="22"/>
                <w:szCs w:val="22"/>
              </w:rPr>
              <w:t xml:space="preserve">х условий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3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размера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Требование по обеспечению исполнения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Авансирование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на возврат авансового платежа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3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5% (пять)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первоначально установленного обеспечения исполнения договора в 1,5 (полтора) раза, но не менее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исполнения договора в размере аван</w:t>
            </w:r>
            <w:r>
              <w:rPr>
                <w:sz w:val="22"/>
                <w:szCs w:val="22"/>
              </w:rPr>
              <w:t xml:space="preserve">са, но не менее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исполнения договора в размере аванса, но не менее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21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</w:t>
            </w:r>
            <w:r>
              <w:rPr>
                <w:sz w:val="22"/>
                <w:szCs w:val="22"/>
              </w:rPr>
              <w:t xml:space="preserve">начально установленного обеспечение исполнения договора в 1,5 (полтора) раза, но не менее 5% (пяти) от начальной (максимальной) цены договора, и обеспечение возврата авансовых платежей в размере, установленном в документации о закупке (извещении о закупке)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r/>
      <w:r/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Обеспечение исполнения договора может быть представлено в форме внесения денежных средств на счет Заказчика или в форме независимой гарантии. Выбор способа обеспечения исполнения обязательств по договору</w:t>
      </w:r>
      <w:r>
        <w:rPr>
          <w:rFonts w:ascii="Times New Roman" w:hAnsi="Times New Roman" w:cs="Times New Roman"/>
          <w:b w:val="0"/>
          <w:bCs w:val="0"/>
        </w:rPr>
        <w:t xml:space="preserve">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участником закупки решения о предоставлении обеспечения исполнения обязательств </w:t>
      </w:r>
      <w:r>
        <w:rPr>
          <w:rFonts w:ascii="Times New Roman" w:hAnsi="Times New Roman" w:cs="Times New Roman"/>
          <w:b w:val="0"/>
          <w:bCs w:val="0"/>
        </w:rPr>
        <w:t xml:space="preserve">по договору, предусмотренного в пункте </w:t>
      </w:r>
      <w:hyperlink w:tooltip="#_3.7.2._В_с" w:anchor="_3.7.2._В_с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3.7.2 </w:t>
        </w:r>
      </w:hyperlink>
      <w:r>
        <w:rPr>
          <w:rFonts w:ascii="Times New Roman" w:hAnsi="Times New Roman" w:cs="Times New Roman"/>
          <w:b w:val="0"/>
          <w:bCs w:val="0"/>
        </w:rPr>
        <w:t xml:space="preserve">документации о закупке в форме денежных средств, такие средства перечисляются на расчетный счет Заказчика, указанный в соответствующем разделе Проекта договора. В</w:t>
      </w:r>
      <w:r>
        <w:rPr>
          <w:rFonts w:ascii="Times New Roman" w:hAnsi="Times New Roman" w:cs="Times New Roman"/>
          <w:b w:val="0"/>
          <w:bCs w:val="0"/>
        </w:rPr>
        <w:t xml:space="preserve">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проекте договора. В с</w:t>
      </w:r>
      <w:r>
        <w:rPr>
          <w:rFonts w:ascii="Times New Roman" w:hAnsi="Times New Roman" w:cs="Times New Roman"/>
          <w:b w:val="0"/>
          <w:bCs w:val="0"/>
        </w:rPr>
        <w:t xml:space="preserve">лучае отсутствия в проекте договора установленного срока </w:t>
      </w:r>
      <w:r>
        <w:rPr>
          <w:rFonts w:ascii="Times New Roman" w:hAnsi="Times New Roman" w:cs="Times New Roman"/>
          <w:b w:val="0"/>
          <w:bCs w:val="0"/>
        </w:rPr>
        <w:t xml:space="preserve">предоставления обеспечения исполнения договора такое обеспечение предоставляется до момента подписания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решения о предоставлении обеспечения исполнения обязательств по дого</w:t>
      </w:r>
      <w:r>
        <w:rPr>
          <w:rFonts w:ascii="Times New Roman" w:hAnsi="Times New Roman" w:cs="Times New Roman"/>
          <w:b w:val="0"/>
          <w:bCs w:val="0"/>
        </w:rPr>
        <w:t xml:space="preserve">вору, предусмотренного в пункте </w:t>
      </w:r>
      <w:hyperlink w:tooltip="#_В_случае_если" w:anchor="_В_случае_если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3.7.2</w:t>
        </w:r>
      </w:hyperlink>
      <w:r>
        <w:rPr>
          <w:rFonts w:ascii="Times New Roman" w:hAnsi="Times New Roman" w:cs="Times New Roman"/>
          <w:b w:val="0"/>
          <w:bCs w:val="0"/>
        </w:rPr>
        <w:t xml:space="preserve"> документации о закупке в форме независимой гарантии, такая гарантия, а также банк-гарант должны соответствовать требованиям, установленным в пункте </w:t>
      </w:r>
      <w:hyperlink w:tooltip="#_Требования_к_условиям" w:anchor="_Требования_к_условиям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6.3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проект договора не содержит раздела по предоставлению обеспечения исполнения договора и победителем закупки (единственным участником закупки) подано аномальн</w:t>
      </w:r>
      <w:r>
        <w:rPr>
          <w:rFonts w:ascii="Times New Roman" w:hAnsi="Times New Roman" w:cs="Times New Roman"/>
          <w:b w:val="0"/>
          <w:bCs w:val="0"/>
        </w:rPr>
        <w:t xml:space="preserve">о низкое ценовое предложение, договор дополняется соответствующим разделом.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1217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35" w:name="_Toc25"/>
      <w:r>
        <w:rPr>
          <w:sz w:val="24"/>
          <w:szCs w:val="24"/>
        </w:rPr>
        <w:t xml:space="preserve">ПОДАЧА ЗАЯВОК НА УЧАСТИЕ В ЗАКУПКЕ</w:t>
      </w:r>
      <w:r>
        <w:rPr>
          <w:sz w:val="24"/>
          <w:szCs w:val="24"/>
        </w:rPr>
      </w:r>
      <w:bookmarkEnd w:id="235"/>
      <w:r/>
      <w:r>
        <w:rPr>
          <w:sz w:val="24"/>
          <w:szCs w:val="24"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6" w:name="_Toc26"/>
      <w:r/>
      <w:bookmarkStart w:id="80" w:name="_Ref166249895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80"/>
      <w:r>
        <w:rPr>
          <w:sz w:val="24"/>
          <w:szCs w:val="24"/>
        </w:rPr>
        <w:t xml:space="preserve">закупке</w:t>
      </w:r>
      <w:r>
        <w:rPr>
          <w:sz w:val="24"/>
          <w:szCs w:val="24"/>
        </w:rPr>
      </w:r>
      <w:bookmarkEnd w:id="236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ЭТП в сроки, установленные в пункте </w:t>
      </w:r>
      <w:hyperlink w:tooltip="#_Дата_рассмотрения_предложений" w:anchor="_Дата_рассмотрения_предложений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7" w:name="_Toc27"/>
      <w:r/>
      <w:bookmarkStart w:id="82" w:name="_Ref119429670"/>
      <w:r>
        <w:rPr>
          <w:sz w:val="24"/>
          <w:szCs w:val="24"/>
        </w:rPr>
        <w:t xml:space="preserve">Изменения и отзыв заявок на участие в </w:t>
      </w:r>
      <w:bookmarkEnd w:id="82"/>
      <w:r>
        <w:rPr>
          <w:sz w:val="24"/>
          <w:szCs w:val="24"/>
        </w:rPr>
        <w:t xml:space="preserve">закупке</w:t>
      </w:r>
      <w:r>
        <w:rPr>
          <w:sz w:val="24"/>
          <w:szCs w:val="24"/>
        </w:rPr>
      </w:r>
      <w:bookmarkEnd w:id="237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</w:t>
      </w:r>
      <w:r>
        <w:rPr>
          <w:rFonts w:ascii="Times New Roman" w:hAnsi="Times New Roman" w:cs="Times New Roman"/>
          <w:b w:val="0"/>
          <w:bCs w:val="0"/>
        </w:rPr>
        <w:t xml:space="preserve">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ЭТП.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</w:t>
      </w:r>
      <w:r>
        <w:rPr>
          <w:rFonts w:ascii="Times New Roman" w:hAnsi="Times New Roman" w:cs="Times New Roman"/>
          <w:b w:val="0"/>
          <w:bCs w:val="0"/>
        </w:rPr>
        <w:t xml:space="preserve">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1217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38" w:name="_Toc28"/>
      <w:r/>
      <w:bookmarkStart w:id="85" w:name="_Ref119430360"/>
      <w:r>
        <w:rPr>
          <w:sz w:val="24"/>
          <w:szCs w:val="24"/>
        </w:rPr>
        <w:t xml:space="preserve">ПОРЯДОК ПРОВЕДЕНИЯ ЗАКУПКИ</w:t>
      </w:r>
      <w:r>
        <w:rPr>
          <w:sz w:val="24"/>
          <w:szCs w:val="24"/>
        </w:rPr>
      </w:r>
      <w:bookmarkEnd w:id="238"/>
      <w:r/>
      <w:r>
        <w:rPr>
          <w:sz w:val="24"/>
          <w:szCs w:val="24"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9" w:name="_Toc29"/>
      <w:r/>
      <w:bookmarkStart w:id="87" w:name="_Ref125827199"/>
      <w:r/>
      <w:bookmarkEnd w:id="85"/>
      <w:r>
        <w:rPr>
          <w:sz w:val="24"/>
          <w:szCs w:val="24"/>
        </w:rPr>
        <w:t xml:space="preserve">Закупочная комиссия</w:t>
      </w:r>
      <w:r>
        <w:rPr>
          <w:sz w:val="24"/>
          <w:szCs w:val="24"/>
        </w:rPr>
      </w:r>
      <w:bookmarkEnd w:id="239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</w:t>
      </w:r>
      <w:r>
        <w:rPr>
          <w:rFonts w:ascii="Times New Roman" w:hAnsi="Times New Roman" w:cs="Times New Roman"/>
          <w:b w:val="0"/>
          <w:bCs w:val="0"/>
        </w:rPr>
        <w:t xml:space="preserve">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0" w:name="_Toc30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r>
        <w:rPr>
          <w:sz w:val="24"/>
          <w:szCs w:val="24"/>
        </w:rPr>
      </w:r>
      <w:bookmarkEnd w:id="240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</w:t>
      </w:r>
      <w:r>
        <w:rPr>
          <w:rFonts w:ascii="Times New Roman" w:hAnsi="Times New Roman" w:cs="Times New Roman"/>
          <w:b w:val="0"/>
          <w:bCs w:val="0"/>
        </w:rPr>
        <w:t xml:space="preserve">оответствии с требованиями,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</w:t>
      </w:r>
      <w:r>
        <w:rPr>
          <w:rFonts w:ascii="Times New Roman" w:hAnsi="Times New Roman" w:cs="Times New Roman"/>
          <w:b w:val="0"/>
          <w:bCs w:val="0"/>
        </w:rPr>
        <w:t xml:space="preserve">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 вправе направить участнику закупки запрос на разъяснение положений заявки участника, </w:t>
      </w:r>
      <w:r>
        <w:rPr>
          <w:rFonts w:ascii="Times New Roman" w:hAnsi="Times New Roman" w:cs="Times New Roman"/>
          <w:b w:val="0"/>
          <w:bCs w:val="0"/>
        </w:rPr>
        <w:t xml:space="preserve">с указанием срока его выполнения. При этом, не допускаются запросы или требования о представлении участником недостающих документов. Не принимаются к рассмотрению документы и сведения, направленные участником в ходе исполнения запроса, которые изменяют сущ</w:t>
      </w:r>
      <w:r>
        <w:rPr>
          <w:rFonts w:ascii="Times New Roman" w:hAnsi="Times New Roman" w:cs="Times New Roman"/>
          <w:b w:val="0"/>
          <w:bCs w:val="0"/>
        </w:rPr>
        <w:t xml:space="preserve">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530"/>
        <w:numPr>
          <w:ilvl w:val="0"/>
          <w:numId w:val="10"/>
        </w:numPr>
        <w:ind w:left="0" w:firstLine="567"/>
        <w:jc w:val="both"/>
      </w:pPr>
      <w:r>
        <w:t xml:space="preserve">в случае отсутст</w:t>
      </w:r>
      <w:r>
        <w:t xml:space="preserve">вия в составе заявки документов и сведений, предусмотренных для предоставления в заявки, указанных в пункте </w:t>
      </w:r>
      <w:hyperlink w:tooltip="#_Сведения_и_документы," w:anchor="_Сведения_и" w:history="1">
        <w:r>
          <w:rPr>
            <w:rStyle w:val="1437"/>
          </w:rPr>
          <w:t xml:space="preserve">17 части II «ИНФОРМАЦИОННАЯ КАРТА ЗАКУПКИ»</w:t>
        </w:r>
      </w:hyperlink>
      <w:r>
        <w:t xml:space="preserve">;</w:t>
      </w:r>
      <w:r/>
    </w:p>
    <w:p>
      <w:pPr>
        <w:pStyle w:val="1530"/>
        <w:numPr>
          <w:ilvl w:val="0"/>
          <w:numId w:val="10"/>
        </w:numPr>
        <w:ind w:left="0" w:firstLine="567"/>
        <w:jc w:val="both"/>
        <w:rPr>
          <w:rStyle w:val="1437"/>
          <w:color w:val="auto"/>
          <w:u w:val="none"/>
        </w:rPr>
      </w:pPr>
      <w:r>
        <w:t xml:space="preserve">несоответствие участника закупки, в том числ</w:t>
      </w:r>
      <w:r>
        <w:t xml:space="preserve">е несоответствие лиц (одного или нескольких), выступающих на стороне одного участника закупки, требованиям, установленным в пункте </w:t>
      </w:r>
      <w:hyperlink w:tooltip="#_1.4._Требо" w:anchor="_1.4._Требо" w:history="1">
        <w:r>
          <w:rPr>
            <w:rStyle w:val="1437"/>
          </w:rPr>
          <w:t xml:space="preserve">1.4 части I «ОБЩИЕ УСЛОВИЯ ПРОВЕДЕНИЯ ЗАКУПКИ»</w:t>
        </w:r>
      </w:hyperlink>
      <w:r>
        <w:rPr>
          <w:rStyle w:val="1437"/>
          <w:color w:val="000000" w:themeColor="text1"/>
          <w:u w:val="none"/>
        </w:rPr>
        <w:t xml:space="preserve">;</w:t>
      </w:r>
      <w:r>
        <w:rPr>
          <w:rStyle w:val="1437"/>
          <w:color w:val="auto"/>
          <w:u w:val="none"/>
        </w:rPr>
      </w:r>
      <w:r>
        <w:rPr>
          <w:rStyle w:val="1437"/>
          <w:color w:val="auto"/>
          <w:u w:val="none"/>
        </w:rPr>
      </w:r>
    </w:p>
    <w:p>
      <w:pPr>
        <w:pStyle w:val="1530"/>
        <w:numPr>
          <w:ilvl w:val="0"/>
          <w:numId w:val="10"/>
        </w:numPr>
        <w:ind w:left="0" w:firstLine="567"/>
        <w:jc w:val="both"/>
      </w:pPr>
      <w:r>
        <w:t xml:space="preserve">несоответствие предлагаемой </w:t>
      </w:r>
      <w:r>
        <w:t xml:space="preserve">продукции и/или условий выполнения работ, исполнения договора требованиям, установленным в частях IV – V документации о закупке и пункта </w:t>
      </w:r>
      <w:hyperlink w:tooltip="#_Предмет_договора_с" w:anchor="_Предмет_договора_с" w:history="1">
        <w:r>
          <w:rPr>
            <w:rStyle w:val="1437"/>
          </w:rPr>
          <w:t xml:space="preserve">3 части II «ИНФОРМАЦИОННАЯ КАРТА ЗАКУПКИ»</w:t>
        </w:r>
      </w:hyperlink>
      <w:r>
        <w:t xml:space="preserve">, </w:t>
      </w:r>
      <w:hyperlink w:tooltip="#_Место_поставки_товара/" w:anchor="_Место_поставки_товара/" w:history="1">
        <w:r>
          <w:rPr>
            <w:rStyle w:val="1437"/>
          </w:rPr>
          <w:t xml:space="preserve">4 части II «ИНФОРМАЦИОННАЯ КАРТА ЗАКУПКИ»</w:t>
        </w:r>
      </w:hyperlink>
      <w:r>
        <w:t xml:space="preserve">, </w:t>
      </w:r>
      <w:hyperlink w:tooltip="#_Сроки_поставки_товара/" w:anchor="_Сроки_поставки_товара/" w:history="1">
        <w:r>
          <w:rPr>
            <w:rStyle w:val="1437"/>
          </w:rPr>
          <w:t xml:space="preserve">5 части II «ИНФОРМАЦИОННАЯ КАРТА ЗАКУПКИ»</w:t>
        </w:r>
      </w:hyperlink>
      <w:r>
        <w:rPr>
          <w:rStyle w:val="1437"/>
          <w:color w:val="000000" w:themeColor="text1"/>
          <w:u w:val="none"/>
        </w:rPr>
        <w:t xml:space="preserve">;</w:t>
      </w:r>
      <w:r/>
    </w:p>
    <w:p>
      <w:pPr>
        <w:pStyle w:val="1530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несоответствие заявки участника требованиям, установленным в Закупочной документации, в том числе требования к содержанию и оформлению заявки, не соответствия по сроку действия оферты;</w:t>
      </w:r>
      <w:r/>
    </w:p>
    <w:p>
      <w:pPr>
        <w:pStyle w:val="1530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 предоставления Участником закупки обеспечения заявки либо предоставл</w:t>
      </w:r>
      <w:r>
        <w:rPr>
          <w:bCs/>
        </w:rPr>
        <w:t xml:space="preserve">ение обеспечения заявки не соответствующего требованиям настоящей документации (в случае если требование о предоставлении обеспечения заявки установлено в пункте </w:t>
      </w:r>
      <w:hyperlink w:tooltip="#_Размер_обеспечения_заявок" w:anchor="_Размер_обе" w:history="1">
        <w:r>
          <w:rPr>
            <w:rStyle w:val="1437"/>
          </w:rPr>
          <w:t xml:space="preserve">11 части II «ИНФОРМАЦИОННАЯ КА</w:t>
        </w:r>
        <w:r>
          <w:rPr>
            <w:rStyle w:val="1437"/>
          </w:rPr>
          <w:t xml:space="preserve">РТА ЗАКУПКИ»</w:t>
        </w:r>
      </w:hyperlink>
      <w:r>
        <w:rPr>
          <w:rStyle w:val="1437"/>
          <w:color w:val="000000" w:themeColor="text1"/>
          <w:u w:val="none"/>
        </w:rPr>
        <w:t xml:space="preserve">);</w:t>
      </w:r>
      <w:r/>
    </w:p>
    <w:p>
      <w:pPr>
        <w:pStyle w:val="1530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t xml:space="preserve">цена заявки участника превышает установленную в пункте </w:t>
      </w:r>
      <w:hyperlink w:tooltip="#_Сведения_о_начальной" w:anchor="_Сведения_о" w:history="1">
        <w:r>
          <w:rPr>
            <w:rStyle w:val="1437"/>
          </w:rPr>
          <w:t xml:space="preserve">7 части II «ИНФОРМАЦИОННАЯ КАРТА ЗАКУПКИ»</w:t>
        </w:r>
      </w:hyperlink>
      <w:r>
        <w:t xml:space="preserve"> начальную (максимальную) цену договора (цену лота), в случае непредставления документ</w:t>
      </w:r>
      <w:r>
        <w:t xml:space="preserve">ов и сведений, предусмотренных для предоставления в составе ценового предложения, указанных в </w:t>
      </w:r>
      <w:hyperlink w:tooltip="#_Сведения_и_документы," w:anchor="_Сведения_и_документы," w:history="1">
        <w:r>
          <w:t xml:space="preserve">пункте </w:t>
        </w:r>
        <w:r>
          <w:rPr>
            <w:rStyle w:val="1437"/>
          </w:rPr>
          <w:t xml:space="preserve">17 части II «ИНФОРМАЦИОННАЯ КАРТА ЗАКУПКИ»</w:t>
        </w:r>
      </w:hyperlink>
      <w:r>
        <w:rPr>
          <w:color w:val="0000ff"/>
        </w:rPr>
        <w:t xml:space="preserve">.</w:t>
      </w:r>
      <w:r/>
    </w:p>
    <w:p>
      <w:pPr>
        <w:pStyle w:val="1530"/>
        <w:numPr>
          <w:ilvl w:val="0"/>
          <w:numId w:val="10"/>
        </w:numPr>
        <w:ind w:left="0" w:firstLine="567"/>
        <w:jc w:val="both"/>
      </w:pPr>
      <w:r>
        <w:t xml:space="preserve">наличие в составе заявки недостоверных с</w:t>
      </w:r>
      <w:r>
        <w:t xml:space="preserve">ведений.</w:t>
      </w:r>
      <w:r/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</w:t>
      </w:r>
      <w:r>
        <w:rPr>
          <w:rFonts w:ascii="Times New Roman" w:hAnsi="Times New Roman" w:cs="Times New Roman"/>
          <w:b w:val="0"/>
          <w:bCs w:val="0"/>
        </w:rPr>
        <w:t xml:space="preserve">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Орг</w:t>
      </w:r>
      <w:r>
        <w:rPr>
          <w:rFonts w:ascii="Times New Roman" w:hAnsi="Times New Roman" w:cs="Times New Roman"/>
          <w:b w:val="0"/>
          <w:bCs w:val="0"/>
        </w:rPr>
        <w:t xml:space="preserve">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</w:t>
      </w:r>
      <w:r>
        <w:rPr>
          <w:rFonts w:ascii="Times New Roman" w:hAnsi="Times New Roman" w:cs="Times New Roman"/>
          <w:b w:val="0"/>
          <w:bCs w:val="0"/>
        </w:rPr>
        <w:t xml:space="preserve">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0"/>
        <w:numPr>
          <w:ilvl w:val="0"/>
          <w:numId w:val="11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20"/>
        <w:numPr>
          <w:ilvl w:val="0"/>
          <w:numId w:val="11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</w:t>
      </w:r>
      <w:r>
        <w:rPr>
          <w:rFonts w:ascii="Times New Roman" w:hAnsi="Times New Roman" w:cs="Times New Roman"/>
        </w:rPr>
        <w:t xml:space="preserve">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</w:t>
      </w:r>
      <w:r>
        <w:rPr>
          <w:rFonts w:ascii="Times New Roman" w:hAnsi="Times New Roman" w:cs="Times New Roman"/>
          <w:b w:val="0"/>
          <w:bCs w:val="0"/>
        </w:rPr>
        <w:t xml:space="preserve">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</w:t>
      </w:r>
      <w:r>
        <w:rPr>
          <w:rFonts w:ascii="Times New Roman" w:hAnsi="Times New Roman" w:cs="Times New Roman"/>
          <w:b w:val="0"/>
          <w:bCs w:val="0"/>
        </w:rPr>
        <w:t xml:space="preserve">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1" w:name="_Toc31"/>
      <w:r>
        <w:rPr>
          <w:sz w:val="24"/>
          <w:szCs w:val="24"/>
        </w:rPr>
        <w:t xml:space="preserve">Критерии оценки заявок участников закупки</w:t>
      </w:r>
      <w:r>
        <w:rPr>
          <w:sz w:val="24"/>
          <w:szCs w:val="24"/>
        </w:rPr>
      </w:r>
      <w:bookmarkEnd w:id="241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hyperlink w:tooltip="#_Приложение_№_1" w:anchor="_Приложение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П</w:t>
        </w:r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риложении № 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highlight w:val="white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оценку и сопоставление заявок на участие в заку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  <w:highlight w:val="white"/>
        </w:rPr>
      </w:r>
      <w:r>
        <w:rPr>
          <w:rFonts w:ascii="Times New Roman" w:hAnsi="Times New Roman" w:cs="Times New Roman"/>
          <w:b w:val="0"/>
          <w:bCs w:val="0"/>
          <w:highlight w:val="white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</w:t>
      </w:r>
      <w:r>
        <w:rPr>
          <w:rFonts w:ascii="Times New Roman" w:hAnsi="Times New Roman" w:cs="Times New Roman"/>
          <w:b w:val="0"/>
          <w:bCs w:val="0"/>
        </w:rPr>
        <w:t xml:space="preserve">х проведения этапов закупки, установленных в пункте </w:t>
      </w:r>
      <w:hyperlink w:tooltip="#_Дата_рассмотрения_предложений" w:anchor="_Дата_рассмотрения_предложений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с учетом сведений и документов, содержащихся в заявках участников закупок, </w:t>
      </w:r>
      <w:r>
        <w:rPr>
          <w:rFonts w:ascii="Times New Roman" w:hAnsi="Times New Roman" w:cs="Times New Roman"/>
          <w:b w:val="0"/>
          <w:bCs w:val="0"/>
        </w:rPr>
        <w:t xml:space="preserve">направляемых Заказчику оператором 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</w:t>
      </w:r>
      <w:r>
        <w:rPr>
          <w:rFonts w:ascii="Times New Roman" w:hAnsi="Times New Roman" w:cs="Times New Roman"/>
          <w:b w:val="0"/>
          <w:bCs w:val="0"/>
        </w:rPr>
        <w:t xml:space="preserve">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</w:t>
      </w:r>
      <w:r>
        <w:rPr>
          <w:rFonts w:ascii="Times New Roman" w:hAnsi="Times New Roman" w:cs="Times New Roman"/>
          <w:b w:val="0"/>
          <w:bCs w:val="0"/>
        </w:rPr>
        <w:t xml:space="preserve">отокол.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</w:t>
      </w:r>
      <w:r>
        <w:rPr>
          <w:rFonts w:ascii="Times New Roman" w:hAnsi="Times New Roman" w:cs="Times New Roman"/>
          <w:b w:val="0"/>
          <w:bCs w:val="0"/>
        </w:rPr>
        <w:t xml:space="preserve">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>
        <w:rPr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</w:t>
      </w:r>
      <w:r>
        <w:rPr>
          <w:rFonts w:ascii="Times New Roman" w:hAnsi="Times New Roman" w:cs="Times New Roman"/>
          <w:b w:val="0"/>
        </w:rPr>
        <w:t xml:space="preserve">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2" w:name="_Toc32"/>
      <w:r>
        <w:rPr>
          <w:sz w:val="24"/>
          <w:szCs w:val="24"/>
        </w:rPr>
        <w:t xml:space="preserve">Особенности осуществления рассмотрения общих частей заявок.</w:t>
      </w:r>
      <w:r>
        <w:rPr>
          <w:sz w:val="24"/>
          <w:szCs w:val="24"/>
        </w:rPr>
      </w:r>
      <w:bookmarkEnd w:id="242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общие части заявок участников на предмет их соответствия требованиям, установленны</w:t>
      </w:r>
      <w:r>
        <w:rPr>
          <w:rFonts w:ascii="Times New Roman" w:hAnsi="Times New Roman" w:cs="Times New Roman"/>
          <w:b w:val="0"/>
          <w:bCs w:val="0"/>
        </w:rPr>
        <w:t xml:space="preserve">м документацией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отклоняет заявку участника на этапе рассмотрения общих частей заявок по следующим основаниям: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530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в случае отсутствия в составе общей части заявки документов и сведений, предусмотренных для предоставления в общей части заявки, указанных в пункте </w:t>
      </w:r>
      <w:hyperlink w:tooltip="#_Сведения_и_документы," w:anchor="_Сведения_и" w:history="1">
        <w:r>
          <w:rPr>
            <w:rStyle w:val="1437"/>
          </w:rPr>
          <w:t xml:space="preserve">17 части II «ИНФОРМАЦИОННАЯ КАРТА ЗАКУПКИ»</w:t>
        </w:r>
      </w:hyperlink>
      <w:r>
        <w:t xml:space="preserve">;</w:t>
      </w:r>
      <w:r/>
    </w:p>
    <w:p>
      <w:pPr>
        <w:pStyle w:val="1530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несо</w:t>
      </w:r>
      <w:r>
        <w:t xml:space="preserve">ответствие участника закупки, в том числе несоответствие лиц (одного или нескольких), выступающих на стороне одного участника закупки, требованиям, установленным в пункте </w:t>
      </w:r>
      <w:hyperlink w:tooltip="#_1.4._Требо" w:anchor="_1.4._Требо" w:history="1">
        <w:r>
          <w:rPr>
            <w:rStyle w:val="1437"/>
          </w:rPr>
          <w:t xml:space="preserve">1.4 части I «ОБЩИЕ УСЛОВИЯ ПРОВЕДЕНИ</w:t>
        </w:r>
        <w:r>
          <w:rPr>
            <w:rStyle w:val="1437"/>
          </w:rPr>
          <w:t xml:space="preserve">Я ЗАКУПКИ»</w:t>
        </w:r>
      </w:hyperlink>
      <w:r>
        <w:t xml:space="preserve">;</w:t>
      </w:r>
      <w:r/>
    </w:p>
    <w:p>
      <w:pPr>
        <w:pStyle w:val="1530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несоответствие предлагаемой продукции и/или условий выполнения работ, исполнения договора требованиям, установленным в частях IV – V документации о закупке и пункта </w:t>
      </w:r>
      <w:hyperlink w:tooltip="#_Предмет_договора_с" w:anchor="_Предмет_договора_с" w:history="1">
        <w:r>
          <w:rPr>
            <w:rStyle w:val="1437"/>
          </w:rPr>
          <w:t xml:space="preserve">3 части II «ИН</w:t>
        </w:r>
        <w:r>
          <w:rPr>
            <w:rStyle w:val="1437"/>
          </w:rPr>
          <w:t xml:space="preserve">ФОРМАЦИОННАЯ КАРТА ЗАКУПКИ»</w:t>
        </w:r>
      </w:hyperlink>
      <w:r>
        <w:t xml:space="preserve">, </w:t>
      </w:r>
      <w:hyperlink w:tooltip="#_Место_поставки_товара/" w:anchor="_Место_поставки_товара/" w:history="1">
        <w:r>
          <w:rPr>
            <w:rStyle w:val="1437"/>
          </w:rPr>
          <w:t xml:space="preserve">4 части II «ИНФОРМАЦИОННАЯ КАРТА ЗАКУПКИ»</w:t>
        </w:r>
      </w:hyperlink>
      <w:r>
        <w:t xml:space="preserve">, </w:t>
      </w:r>
      <w:hyperlink w:tooltip="#_Сроки_поставки_товара/" w:anchor="_Сроки_поставки_товара/" w:history="1">
        <w:r>
          <w:rPr>
            <w:rStyle w:val="1437"/>
          </w:rPr>
          <w:t xml:space="preserve">5 части II «ИНФОРМАЦИОННАЯ КАРТА ЗАКУП</w:t>
        </w:r>
        <w:r>
          <w:rPr>
            <w:rStyle w:val="1437"/>
          </w:rPr>
          <w:t xml:space="preserve">КИ»</w:t>
        </w:r>
      </w:hyperlink>
      <w:r>
        <w:t xml:space="preserve">;</w:t>
      </w:r>
      <w:r/>
    </w:p>
    <w:p>
      <w:pPr>
        <w:pStyle w:val="1530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 предоставления Участником закупки обеспечения заявки либо предоставление обеспечения заявки не соответствующего требованиям настоящей документации (в случае если требование о предоставлении обеспечения заявки установлено в пункте </w:t>
      </w:r>
      <w:hyperlink w:tooltip="#_Размер_обеспечения_заявок" w:anchor="_Размер_обе" w:history="1">
        <w:r>
          <w:rPr>
            <w:rStyle w:val="1437"/>
          </w:rPr>
          <w:t xml:space="preserve">11 части II «ИНФОРМАЦИОННАЯ КАРТА ЗАКУПКИ»</w:t>
        </w:r>
      </w:hyperlink>
      <w:r>
        <w:rPr>
          <w:rStyle w:val="1437"/>
          <w:color w:val="000000" w:themeColor="text1"/>
          <w:u w:val="none"/>
        </w:rPr>
        <w:t xml:space="preserve">);</w:t>
      </w:r>
      <w:r/>
    </w:p>
    <w:p>
      <w:pPr>
        <w:pStyle w:val="1530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несоответствие заявки участника требованиям, установленным в Закупочной документации, в том числе требования к содержанию и оформлению заявки, не соо</w:t>
      </w:r>
      <w:r>
        <w:rPr>
          <w:bCs/>
        </w:rPr>
        <w:t xml:space="preserve">тветствия по сроку действия оферты;</w:t>
      </w:r>
      <w:r/>
    </w:p>
    <w:p>
      <w:pPr>
        <w:pStyle w:val="1530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наличие в составе заявки недостоверных сведений.</w:t>
      </w:r>
      <w:r/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3" w:name="_Toc33"/>
      <w:r>
        <w:rPr>
          <w:sz w:val="24"/>
          <w:szCs w:val="24"/>
        </w:rPr>
        <w:t xml:space="preserve">Особенности осуществления рассмотрения и сопоставления ценовых предложений участников закупки</w:t>
      </w:r>
      <w:r>
        <w:rPr>
          <w:sz w:val="24"/>
          <w:szCs w:val="24"/>
        </w:rPr>
      </w:r>
      <w:bookmarkEnd w:id="243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</w:t>
      </w:r>
      <w:r>
        <w:rPr>
          <w:rFonts w:ascii="Times New Roman" w:hAnsi="Times New Roman" w:cs="Times New Roman"/>
          <w:b w:val="0"/>
          <w:bCs w:val="0"/>
        </w:rPr>
        <w:t xml:space="preserve">ляется Закупочной комиссией после направления оператором ЭТП результатов </w:t>
      </w:r>
      <w:r>
        <w:rPr>
          <w:rFonts w:ascii="Times New Roman" w:hAnsi="Times New Roman" w:cs="Times New Roman"/>
          <w:b w:val="0"/>
          <w:bCs w:val="0"/>
        </w:rPr>
        <w:t xml:space="preserve">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</w:t>
      </w:r>
      <w:r>
        <w:rPr>
          <w:rFonts w:ascii="Times New Roman" w:hAnsi="Times New Roman" w:cs="Times New Roman"/>
          <w:b w:val="0"/>
          <w:bCs w:val="0"/>
        </w:rPr>
        <w:t xml:space="preserve">дого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</w:t>
      </w:r>
      <w:hyperlink w:tooltip="#_Приложение_№_1" w:anchor="_Приложение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Приложении № 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</w:t>
      </w:r>
      <w:r>
        <w:rPr>
          <w:rFonts w:ascii="Times New Roman" w:hAnsi="Times New Roman" w:cs="Times New Roman"/>
          <w:b w:val="0"/>
          <w:bCs w:val="0"/>
        </w:rPr>
        <w:t xml:space="preserve"> в том числе в части не превышения ценового предложения участника начальной (максимальной) цены договора/цены лота, не превышения единицы продукции (если такое требование установлено в документации о закупке).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</w:t>
      </w:r>
      <w:r>
        <w:rPr>
          <w:rFonts w:ascii="Times New Roman" w:hAnsi="Times New Roman" w:cs="Times New Roman"/>
          <w:b w:val="0"/>
          <w:bCs w:val="0"/>
        </w:rPr>
        <w:t xml:space="preserve"> на этапе рассмотрения ценовых предложений участников в случае, если </w:t>
      </w:r>
      <w:r>
        <w:rPr>
          <w:rFonts w:ascii="Times New Roman" w:hAnsi="Times New Roman"/>
          <w:b w:val="0"/>
        </w:rPr>
        <w:t xml:space="preserve">цена заявки участника превышает установленную </w:t>
      </w:r>
      <w:r>
        <w:rPr>
          <w:rFonts w:ascii="Times New Roman" w:hAnsi="Times New Roman" w:cs="Times New Roman"/>
          <w:b w:val="0"/>
          <w:bCs w:val="0"/>
        </w:rPr>
        <w:t xml:space="preserve">в</w:t>
      </w:r>
      <w:r>
        <w:rPr>
          <w:rFonts w:ascii="Times New Roman" w:hAnsi="Times New Roman" w:cs="Times New Roman"/>
          <w:b w:val="0"/>
        </w:rPr>
        <w:t xml:space="preserve"> </w:t>
      </w:r>
      <w:hyperlink w:tooltip="#_Сведения_и_документы," w:anchor="_Сведения_и_документы," w:history="1">
        <w:r>
          <w:t xml:space="preserve"> </w:t>
        </w:r>
        <w:r>
          <w:rPr>
            <w:rFonts w:ascii="Times New Roman" w:hAnsi="Times New Roman" w:cs="Times New Roman"/>
            <w:b w:val="0"/>
            <w:bCs w:val="0"/>
          </w:rPr>
          <w:t xml:space="preserve">пункте </w:t>
        </w:r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начальную (максима</w:t>
      </w:r>
      <w:r>
        <w:rPr>
          <w:rFonts w:ascii="Times New Roman" w:hAnsi="Times New Roman" w:cs="Times New Roman"/>
          <w:b w:val="0"/>
          <w:bCs w:val="0"/>
        </w:rPr>
        <w:t xml:space="preserve">льную) цену договора (цену лота), непредставления документов и сведений, в случае если предоставление таких документов и сведений предусмотрено для предоставления в составе ценового предложения и указано в</w:t>
      </w:r>
      <w:r>
        <w:rPr>
          <w:rFonts w:ascii="Times New Roman" w:hAnsi="Times New Roman" w:cs="Times New Roman"/>
          <w:b w:val="0"/>
        </w:rPr>
        <w:t xml:space="preserve"> </w:t>
      </w:r>
      <w:hyperlink w:tooltip="#_Сведения_и_документы," w:anchor="_Сведения_и_документы," w:history="1">
        <w:r>
          <w:t xml:space="preserve"> </w:t>
        </w:r>
        <w:r>
          <w:rPr>
            <w:rFonts w:ascii="Times New Roman" w:hAnsi="Times New Roman" w:cs="Times New Roman"/>
            <w:b w:val="0"/>
            <w:bCs w:val="0"/>
          </w:rPr>
          <w:t xml:space="preserve">пункте </w:t>
        </w:r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/>
          <w:b w:val="0"/>
        </w:rPr>
        <w:t xml:space="preserve">В случае несоответствия цены заявки, указанной на ЭТП и цены заявки отраженной в документах, определяющих коммерческое </w:t>
      </w:r>
      <w:r>
        <w:rPr>
          <w:rFonts w:ascii="Times New Roman" w:hAnsi="Times New Roman" w:cs="Times New Roman"/>
          <w:b w:val="0"/>
        </w:rPr>
        <w:t xml:space="preserve">предложение, к учету принимается цена, указанная на ЭТП.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4" w:name="_Toc34"/>
      <w:r>
        <w:rPr>
          <w:sz w:val="24"/>
          <w:szCs w:val="24"/>
        </w:rPr>
        <w:t xml:space="preserve">Переторж</w:t>
      </w:r>
      <w:r>
        <w:rPr>
          <w:sz w:val="24"/>
          <w:szCs w:val="24"/>
        </w:rPr>
        <w:t xml:space="preserve">ка</w:t>
      </w:r>
      <w:r>
        <w:rPr>
          <w:sz w:val="24"/>
          <w:szCs w:val="24"/>
        </w:rPr>
      </w:r>
      <w:bookmarkEnd w:id="244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Переторжка проводится при усл</w:t>
      </w:r>
      <w:r>
        <w:rPr>
          <w:rFonts w:ascii="Times New Roman" w:hAnsi="Times New Roman" w:cs="Times New Roman"/>
          <w:b w:val="0"/>
        </w:rPr>
        <w:t xml:space="preserve">овии допуска к участию в закупке одного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 ходе переторжки участник закупки вправе подавать ценовые предложения</w:t>
      </w:r>
      <w:r>
        <w:rPr>
          <w:rFonts w:ascii="Times New Roman" w:hAnsi="Times New Roman" w:cs="Times New Roman"/>
          <w:b w:val="0"/>
        </w:rPr>
        <w:t xml:space="preserve">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</w:t>
      </w:r>
      <w:r>
        <w:rPr>
          <w:rFonts w:ascii="Times New Roman" w:hAnsi="Times New Roman" w:cs="Times New Roman"/>
          <w:b w:val="0"/>
        </w:rPr>
        <w:t xml:space="preserve">ей с ранее объявленными условиями.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</w:t>
      </w:r>
      <w:r>
        <w:rPr>
          <w:rFonts w:ascii="Times New Roman" w:hAnsi="Times New Roman" w:cs="Times New Roman"/>
          <w:b w:val="0"/>
        </w:rPr>
        <w:t xml:space="preserve">ие (в случае если предоставление документов, определяющих их коммерческое предложение, предусмотрен</w:t>
      </w:r>
      <w:r>
        <w:rPr>
          <w:rFonts w:ascii="Times New Roman" w:hAnsi="Times New Roman" w:cs="Times New Roman"/>
          <w:b w:val="0"/>
          <w:bCs w:val="0"/>
        </w:rPr>
        <w:t xml:space="preserve">о в  пункте </w:t>
      </w:r>
      <w:hyperlink w:tooltip="#_Сведения_и_документы," w:anchor="_Сведения_и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17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).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hyperlink w:tooltip="#_Порядок,_дата_начала," w:anchor="_Порядок,_дата_начала," w:history="1">
        <w:r>
          <w:rPr>
            <w:rFonts w:ascii="Times New Roman" w:hAnsi="Times New Roman" w:cs="Times New Roman"/>
            <w:b w:val="0"/>
            <w:bCs w:val="0"/>
          </w:rPr>
          <w:t xml:space="preserve">в пу</w:t>
        </w:r>
        <w:r>
          <w:rPr>
            <w:rFonts w:ascii="Times New Roman" w:hAnsi="Times New Roman" w:cs="Times New Roman"/>
            <w:b w:val="0"/>
            <w:bCs w:val="0"/>
          </w:rPr>
          <w:t xml:space="preserve">нкте </w:t>
        </w:r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Время проведения первой процедуры переторжки (время ожидания ценовых предложений) указывается Заказчиком в  пункте </w:t>
      </w:r>
      <w:hyperlink w:tooltip="#_Порядок,_д" w:anchor="_Порядок,_д" w:history="1">
        <w:r>
          <w:rPr>
            <w:rStyle w:val="1437"/>
            <w:rFonts w:ascii="Times New Roman" w:hAnsi="Times New Roman" w:cs="Times New Roman"/>
            <w:b w:val="0"/>
          </w:rPr>
          <w:t xml:space="preserve">9 части II </w:t>
        </w:r>
        <w:r>
          <w:rPr>
            <w:rStyle w:val="1437"/>
            <w:rFonts w:ascii="Times New Roman" w:hAnsi="Times New Roman" w:cs="Times New Roman"/>
            <w:b w:val="0"/>
          </w:rPr>
          <w:t xml:space="preserve">«</w:t>
        </w:r>
        <w:r>
          <w:rPr>
            <w:rStyle w:val="1437"/>
            <w:rFonts w:ascii="Times New Roman" w:hAnsi="Times New Roman" w:cs="Times New Roman"/>
            <w:b w:val="0"/>
          </w:rPr>
          <w:t xml:space="preserve">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Дата и время проведения процедур переторжки (повторных переторжек) указывается на сайте электронной площадки, информация о чем доводится до сведения участников закупки средствами ЭТП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</w:t>
      </w:r>
      <w:r>
        <w:rPr>
          <w:rFonts w:ascii="Times New Roman" w:hAnsi="Times New Roman" w:cs="Times New Roman"/>
          <w:b w:val="0"/>
          <w:bCs w:val="0"/>
        </w:rPr>
        <w:t xml:space="preserve">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5" w:name="_Toc35"/>
      <w:r>
        <w:rPr>
          <w:sz w:val="24"/>
          <w:szCs w:val="24"/>
        </w:rPr>
        <w:t xml:space="preserve">Подведение итогов</w:t>
      </w:r>
      <w:r>
        <w:rPr>
          <w:sz w:val="24"/>
          <w:szCs w:val="24"/>
        </w:rPr>
      </w:r>
      <w:bookmarkEnd w:id="245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Подведение итогов за</w:t>
      </w:r>
      <w:r>
        <w:rPr>
          <w:rFonts w:ascii="Times New Roman" w:hAnsi="Times New Roman" w:cs="Times New Roman"/>
          <w:b w:val="0"/>
        </w:rPr>
        <w:t xml:space="preserve">купки осуществляются Закупочной комиссией в сроки, установленные </w:t>
      </w:r>
      <w:hyperlink w:tooltip="#_Порядок,_дата_начала," w:anchor="_Порядок,_дата_начала," w:history="1">
        <w:r>
          <w:rPr>
            <w:rFonts w:ascii="Times New Roman" w:hAnsi="Times New Roman" w:cs="Times New Roman"/>
            <w:b w:val="0"/>
          </w:rPr>
          <w:t xml:space="preserve">в  пункте </w:t>
        </w:r>
        <w:r>
          <w:rPr>
            <w:rStyle w:val="1437"/>
            <w:rFonts w:ascii="Times New Roman" w:hAnsi="Times New Roman" w:cs="Times New Roman"/>
            <w:b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рамках подведения итогов осуществляется оценка и сопоставление за</w:t>
      </w:r>
      <w:r>
        <w:rPr>
          <w:rFonts w:ascii="Times New Roman" w:hAnsi="Times New Roman" w:cs="Times New Roman"/>
          <w:b w:val="0"/>
        </w:rPr>
        <w:t xml:space="preserve">явок участников, допущенных до участия в закупке по результатам рассмотрения заявок. </w:t>
      </w: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hyperlink w:tooltip="#_Приложение_№_1" w:anchor="_Приложение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Приложении № 1 части II «ИНФОРМ</w:t>
        </w:r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Заказчиком, применяют</w:t>
      </w:r>
      <w:r>
        <w:rPr>
          <w:rFonts w:ascii="Times New Roman" w:hAnsi="Times New Roman" w:cs="Times New Roman"/>
          <w:b w:val="0"/>
          <w:bCs w:val="0"/>
        </w:rPr>
        <w:t xml:space="preserve">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</w:t>
      </w:r>
      <w:r>
        <w:rPr>
          <w:rFonts w:ascii="Times New Roman" w:hAnsi="Times New Roman" w:cs="Times New Roman"/>
          <w:b w:val="0"/>
          <w:bCs w:val="0"/>
        </w:rPr>
        <w:t xml:space="preserve">бованиям, установленным документацией о закупке, и заявка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>
        <w:rPr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случае е</w:t>
      </w:r>
      <w:r>
        <w:rPr>
          <w:rFonts w:ascii="Times New Roman" w:hAnsi="Times New Roman" w:cs="Times New Roman"/>
          <w:b w:val="0"/>
        </w:rPr>
        <w:t xml:space="preserve">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По результатам осуществления оценки и сопоставления заявок </w:t>
      </w:r>
      <w:r>
        <w:rPr>
          <w:rFonts w:ascii="Times New Roman" w:hAnsi="Times New Roman" w:cs="Times New Roman"/>
          <w:b w:val="0"/>
          <w:bCs w:val="0"/>
        </w:rPr>
        <w:t xml:space="preserve">составляется итоговый прото</w:t>
      </w:r>
      <w:r>
        <w:rPr>
          <w:rFonts w:ascii="Times New Roman" w:hAnsi="Times New Roman" w:cs="Times New Roman"/>
          <w:b w:val="0"/>
          <w:bCs w:val="0"/>
        </w:rPr>
        <w:t xml:space="preserve">кол</w:t>
      </w:r>
      <w:r>
        <w:rPr>
          <w:rFonts w:ascii="Times New Roman" w:hAnsi="Times New Roman" w:cs="Times New Roman"/>
          <w:b w:val="0"/>
        </w:rPr>
        <w:t xml:space="preserve">, </w:t>
      </w:r>
      <w:r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>
        <w:rPr>
          <w:rFonts w:ascii="Times New Roman" w:hAnsi="Times New Roman" w:cs="Times New Roman"/>
          <w:b w:val="0"/>
        </w:rPr>
        <w:t xml:space="preserve">результаты оценки заявок на участие в закупке с указанием итогового решения Закупочной комиссии о соответствии таких заявок требованиям доку</w:t>
      </w:r>
      <w:r>
        <w:rPr>
          <w:rFonts w:ascii="Times New Roman" w:hAnsi="Times New Roman" w:cs="Times New Roman"/>
          <w:b w:val="0"/>
        </w:rPr>
        <w:t xml:space="preserve">ментации о закупке, а также о присвоении таким заявкам значения по каждому из предусмотренных критериев оценки таких заявок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</w:t>
      </w:r>
      <w:r>
        <w:rPr>
          <w:rFonts w:ascii="Times New Roman" w:hAnsi="Times New Roman" w:cs="Times New Roman"/>
          <w:b w:val="0"/>
          <w:bCs w:val="0"/>
        </w:rPr>
        <w:t xml:space="preserve">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</w:t>
      </w:r>
      <w:r>
        <w:rPr>
          <w:rFonts w:ascii="Times New Roman" w:hAnsi="Times New Roman" w:cs="Times New Roman"/>
          <w:b w:val="0"/>
          <w:bCs w:val="0"/>
        </w:rPr>
        <w:t xml:space="preserve">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6" w:name="_Toc36"/>
      <w:r>
        <w:rPr>
          <w:sz w:val="24"/>
          <w:szCs w:val="24"/>
        </w:rPr>
        <w:t xml:space="preserve">Признание закупки несостоявшейся</w:t>
      </w:r>
      <w:r>
        <w:rPr>
          <w:sz w:val="24"/>
          <w:szCs w:val="24"/>
        </w:rPr>
      </w:r>
      <w:bookmarkEnd w:id="246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</w:t>
      </w:r>
      <w:r>
        <w:rPr>
          <w:rFonts w:ascii="Times New Roman" w:hAnsi="Times New Roman" w:cs="Times New Roman"/>
          <w:b w:val="0"/>
          <w:bCs w:val="0"/>
        </w:rPr>
        <w:t xml:space="preserve">ем о закупке Заказчика.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7" w:name="_Toc37"/>
      <w:r>
        <w:rPr>
          <w:sz w:val="24"/>
          <w:szCs w:val="24"/>
        </w:rPr>
        <w:t xml:space="preserve">Рассмотрение жалоб и обращений участников закупки</w:t>
      </w:r>
      <w:r>
        <w:rPr>
          <w:sz w:val="24"/>
          <w:szCs w:val="24"/>
        </w:rPr>
      </w:r>
      <w:bookmarkEnd w:id="247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>
        <w:t xml:space="preserve">В случае необходимости, после завершения процедуры закупк</w:t>
      </w:r>
      <w:r>
        <w:t xml:space="preserve">и участник вправе направить в адрес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</w:t>
      </w:r>
      <w:r>
        <w:t xml:space="preserve">мента получения такого запроса.</w:t>
      </w:r>
      <w:r/>
    </w:p>
    <w:p>
      <w:r/>
      <w:r/>
    </w:p>
    <w:p>
      <w:pPr>
        <w:pStyle w:val="1217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48" w:name="_Toc38"/>
      <w:r/>
      <w:bookmarkStart w:id="96" w:name="Par110"/>
      <w:r/>
      <w:bookmarkStart w:id="97" w:name="Par144"/>
      <w:r/>
      <w:bookmarkEnd w:id="87"/>
      <w:r/>
      <w:bookmarkEnd w:id="96"/>
      <w:r/>
      <w:bookmarkEnd w:id="97"/>
      <w:r>
        <w:rPr>
          <w:sz w:val="24"/>
          <w:szCs w:val="24"/>
        </w:rPr>
        <w:t xml:space="preserve">ЗАКЛЮЧЕНИЕ, ИЗМЕНЕНИЕ И РАСТОРЖЕНИЕ ДОГОВОРА</w:t>
      </w:r>
      <w:r>
        <w:rPr>
          <w:sz w:val="24"/>
          <w:szCs w:val="24"/>
        </w:rPr>
      </w:r>
      <w:bookmarkEnd w:id="248"/>
      <w:r/>
      <w:r>
        <w:rPr>
          <w:sz w:val="24"/>
          <w:szCs w:val="24"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9" w:name="_Toc39"/>
      <w:r/>
      <w:bookmarkStart w:id="99" w:name="_Обеспечения_исполнения_договора,"/>
      <w:r/>
      <w:bookmarkStart w:id="101" w:name="_Ref130891676"/>
      <w:r/>
      <w:bookmarkEnd w:id="99"/>
      <w:r>
        <w:rPr>
          <w:sz w:val="24"/>
          <w:szCs w:val="24"/>
        </w:rPr>
        <w:t xml:space="preserve">Срок и порядок заключения договора</w:t>
      </w:r>
      <w:r/>
      <w:bookmarkEnd w:id="101"/>
      <w:r>
        <w:rPr>
          <w:sz w:val="24"/>
          <w:szCs w:val="24"/>
        </w:rPr>
      </w:r>
      <w:bookmarkEnd w:id="249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</w:t>
      </w:r>
      <w:r>
        <w:rPr>
          <w:rFonts w:ascii="Times New Roman" w:hAnsi="Times New Roman" w:cs="Times New Roman"/>
          <w:b w:val="0"/>
        </w:rPr>
        <w:t xml:space="preserve">и заявкой победителя такой закупки, с которым заключается договор с учетом результатов преддоговорных переговоров в случае их проведения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Если в соответствии с требованиями</w:t>
      </w:r>
      <w:r>
        <w:rPr>
          <w:rFonts w:ascii="Times New Roman" w:hAnsi="Times New Roman" w:cs="Times New Roman"/>
          <w:b w:val="0"/>
        </w:rPr>
        <w:t xml:space="preserve"> </w:t>
      </w:r>
      <w:hyperlink r:id="rId27" w:tooltip="https://www.consultant.ru/document/cons_doc_LAW_494318/92d969e26a4326c5d02fa79b8f9cf4994ee5633b/" w:history="1">
        <w:r>
          <w:rPr>
            <w:rStyle w:val="1437"/>
            <w:rFonts w:ascii="Times New Roman" w:hAnsi="Times New Roman" w:cs="Times New Roman"/>
            <w:b w:val="0"/>
          </w:rPr>
          <w:t xml:space="preserve">постановления Правительства РФ от 23.12.</w:t>
        </w:r>
        <w:r>
          <w:rPr>
            <w:rStyle w:val="1437"/>
            <w:rFonts w:ascii="Times New Roman" w:hAnsi="Times New Roman" w:cs="Times New Roman"/>
            <w:b w:val="0"/>
          </w:rPr>
          <w:t xml:space="preserve">2024 № 1875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в пункте </w:t>
      </w:r>
      <w:hyperlink w:tooltip="#_Информация" w:anchor="_Информация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12 части II «ИНФОРМАЦИОНОЙ КАРТЫ ЗАКУПКИ»</w:t>
        </w:r>
      </w:hyperlink>
      <w:r>
        <w:rPr>
          <w:rFonts w:ascii="Times New Roman" w:hAnsi="Times New Roman" w:cs="Times New Roman"/>
          <w:b w:val="0"/>
        </w:rPr>
        <w:t xml:space="preserve"> установлен запрет закупки работ, услуг, соответственно выполняемых, оказываемых </w:t>
      </w:r>
      <w:r>
        <w:rPr>
          <w:rFonts w:ascii="Times New Roman" w:hAnsi="Times New Roman" w:cs="Times New Roman"/>
          <w:b w:val="0"/>
        </w:rPr>
        <w:t xml:space="preserve">иностранным лицом, то не допускается заключение договора на выпо</w:t>
      </w:r>
      <w:r>
        <w:rPr>
          <w:rFonts w:ascii="Times New Roman" w:hAnsi="Times New Roman" w:cs="Times New Roman"/>
          <w:b w:val="0"/>
        </w:rPr>
        <w:t xml:space="preserve">лнение такой работы, оказание такой услуги с подрядчиком (исполнителем), являющимся иностранным лицом.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Если в соответствии с требованиями </w:t>
      </w:r>
      <w:hyperlink r:id="rId28" w:tooltip="https://www.consultant.ru/document/cons_doc_LAW_494318/92d969e26a4326c5d02fa79b8f9cf4994ee5633b/" w:history="1">
        <w:r>
          <w:rPr>
            <w:rStyle w:val="1437"/>
            <w:rFonts w:ascii="Times New Roman" w:hAnsi="Times New Roman" w:cs="Times New Roman"/>
            <w:b w:val="0"/>
          </w:rPr>
          <w:t xml:space="preserve">постановления Правительства РФ от 23.12.2024 № 1875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в пункте </w:t>
      </w:r>
      <w:hyperlink w:tooltip="#_Информация" w:anchor="_Информация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12 части II «ИНФОРМАЦИОНОЙ КАРТЫ ЗАКУПКИ»</w:t>
        </w:r>
      </w:hyperlink>
      <w:r>
        <w:rPr>
          <w:rFonts w:ascii="Times New Roman" w:hAnsi="Times New Roman" w:cs="Times New Roman"/>
          <w:b w:val="0"/>
        </w:rPr>
        <w:t xml:space="preserve">  устано</w:t>
      </w:r>
      <w:r>
        <w:rPr>
          <w:rFonts w:ascii="Times New Roman" w:hAnsi="Times New Roman" w:cs="Times New Roman"/>
          <w:b w:val="0"/>
        </w:rPr>
        <w:t xml:space="preserve">влено ограничение закупки работ, услуг, соответственно выполняемых, оказываемых иностранным лицом, то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</w:t>
      </w:r>
      <w:r>
        <w:rPr>
          <w:rFonts w:ascii="Times New Roman" w:hAnsi="Times New Roman" w:cs="Times New Roman"/>
          <w:b w:val="0"/>
        </w:rPr>
        <w:t xml:space="preserve">ьное предложение, признанные по результатам их рассмотрения соответствующими требованиям Стандарта,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</w:t>
      </w:r>
      <w:r>
        <w:rPr>
          <w:rFonts w:ascii="Times New Roman" w:hAnsi="Times New Roman" w:cs="Times New Roman"/>
          <w:b w:val="0"/>
        </w:rPr>
        <w:t xml:space="preserve">нтной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пункте </w:t>
      </w:r>
      <w:hyperlink w:tooltip="#_Право_зака" w:anchor="_Право_зака" w:history="1">
        <w:r>
          <w:rPr>
            <w:rStyle w:val="1437"/>
            <w:rFonts w:ascii="Times New Roman" w:hAnsi="Times New Roman" w:cs="Times New Roman"/>
            <w:b w:val="0"/>
          </w:rPr>
          <w:t xml:space="preserve">23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/>
          <w:b w:val="0"/>
        </w:rPr>
      </w:pPr>
      <w:r/>
      <w:bookmarkStart w:id="102" w:name="_6.1.5._Поб"/>
      <w:r/>
      <w:bookmarkStart w:id="103" w:name="_Победитель_закупки_(либо"/>
      <w:r/>
      <w:bookmarkEnd w:id="102"/>
      <w:r/>
      <w:bookmarkEnd w:id="103"/>
      <w:r>
        <w:rPr>
          <w:rFonts w:ascii="Times New Roman" w:hAnsi="Times New Roman" w:cs="Times New Roman"/>
          <w:b w:val="0"/>
        </w:rPr>
        <w:t xml:space="preserve">Победитель закупки (либо единственный участник, признанный соответствующим требованиям документации о закупке) обязан в течение 3 (трех) рабочих дней, с даты размещения итогового проток</w:t>
      </w:r>
      <w:r>
        <w:rPr>
          <w:rFonts w:ascii="Times New Roman" w:hAnsi="Times New Roman" w:cs="Times New Roman"/>
          <w:b w:val="0"/>
        </w:rPr>
        <w:t xml:space="preserve">ола в ЕИС,  направить по электронной почте лицу ответственному за заключение договора и указанному </w:t>
      </w:r>
      <w:r>
        <w:rPr>
          <w:rFonts w:ascii="Times New Roman" w:hAnsi="Times New Roman" w:cs="Times New Roman"/>
          <w:b w:val="0"/>
          <w:highlight w:val="white"/>
        </w:rPr>
        <w:t xml:space="preserve">в </w:t>
      </w:r>
      <w:r>
        <w:rPr>
          <w:rFonts w:ascii="Times New Roman" w:hAnsi="Times New Roman" w:cs="Times New Roman"/>
          <w:b w:val="0"/>
        </w:rPr>
        <w:t xml:space="preserve">пункте </w:t>
      </w:r>
      <w:hyperlink w:tooltip="#_Наименование,_место_нахождения," w:anchor="_Наименование,_место_нахождения," w:history="1">
        <w:r>
          <w:rPr>
            <w:rStyle w:val="1437"/>
            <w:rFonts w:ascii="Times New Roman" w:hAnsi="Times New Roman" w:cs="Times New Roman"/>
            <w:b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, заполненные пр</w:t>
      </w:r>
      <w:r>
        <w:rPr>
          <w:rFonts w:ascii="Times New Roman" w:hAnsi="Times New Roman" w:cs="Times New Roman"/>
          <w:b w:val="0"/>
        </w:rPr>
        <w:t xml:space="preserve">иложения к договору, содержащие информацию о цене, а также сроках поставки товара, выполнения работ, оказания услуг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и заполненное </w:t>
      </w:r>
      <w:r>
        <w:rPr>
          <w:rFonts w:ascii="Times New Roman" w:hAnsi="Times New Roman" w:cs="Times New Roman"/>
        </w:rPr>
        <w:t xml:space="preserve">Приложение № 4</w:t>
      </w:r>
      <w:r>
        <w:rPr>
          <w:rFonts w:ascii="Times New Roman" w:hAnsi="Times New Roman" w:cs="Times New Roman"/>
          <w:b w:val="0"/>
        </w:rPr>
        <w:t xml:space="preserve"> к закупочной документации. При этом общая итоговая стоимость не должна превышать окончательную цену заяв</w:t>
      </w:r>
      <w:r>
        <w:rPr>
          <w:rFonts w:ascii="Times New Roman" w:hAnsi="Times New Roman" w:cs="Times New Roman"/>
          <w:b w:val="0"/>
        </w:rPr>
        <w:t xml:space="preserve">ки Победителя (либо единственного участника, признанного соответствующим требованиям документации о закупке, с которым планируется заключить договор), а сроки поставки товара, выполнения работ (оказания услуг) не должны противоречить предлагаемым срокам по</w:t>
      </w:r>
      <w:r>
        <w:rPr>
          <w:rFonts w:ascii="Times New Roman" w:hAnsi="Times New Roman" w:cs="Times New Roman"/>
          <w:b w:val="0"/>
        </w:rPr>
        <w:t xml:space="preserve">ставки товара, выполнения работ, оказания услуг, указанным в заявке. Участник</w:t>
      </w:r>
      <w:r>
        <w:rPr>
          <w:rFonts w:ascii="Times New Roman" w:hAnsi="Times New Roman"/>
          <w:b w:val="0"/>
        </w:rPr>
        <w:t xml:space="preserve"> не в праве превышать единичные расценки, указанные в Приложении № 2 к части II «ИНФОРМАЦИОННАЯ КАРТА ЗАКУПКИ»</w:t>
      </w:r>
      <w:r>
        <w:rPr>
          <w:rStyle w:val="1437"/>
          <w:rFonts w:ascii="Times New Roman" w:hAnsi="Times New Roman"/>
          <w:b w:val="0"/>
          <w:u w:val="none"/>
        </w:rPr>
        <w:t xml:space="preserve">.</w: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 Победитель закупки (либо единственный участник, призн</w:t>
      </w:r>
      <w:r>
        <w:rPr>
          <w:rFonts w:ascii="Times New Roman" w:hAnsi="Times New Roman" w:cs="Times New Roman"/>
          <w:b w:val="0"/>
        </w:rPr>
        <w:t xml:space="preserve">анный соответствующим требованиям документации о закупке), не предоставит в течение 3 (трех) рабочих дней с даты размещения в ЕИС итогового протокола заполненные приложения к договору, содержащие информацию о цене, а также сроках поставки товара/выполнения</w:t>
      </w:r>
      <w:r>
        <w:rPr>
          <w:rFonts w:ascii="Times New Roman" w:hAnsi="Times New Roman" w:cs="Times New Roman"/>
          <w:b w:val="0"/>
        </w:rPr>
        <w:t xml:space="preserve"> работ/оказании услуг, либо представит указанные сведения с нарушением условий, установленных в пункте </w:t>
      </w:r>
      <w:hyperlink w:tooltip="#_Победитель_закупки_(либо" w:anchor="_6.1.5._Поб" w:history="1">
        <w:r>
          <w:rPr>
            <w:rStyle w:val="1437"/>
            <w:rFonts w:ascii="Times New Roman" w:hAnsi="Times New Roman" w:cs="Times New Roman"/>
            <w:b w:val="0"/>
          </w:rPr>
          <w:t xml:space="preserve">6.1.5</w:t>
        </w:r>
      </w:hyperlink>
      <w:r>
        <w:rPr>
          <w:rFonts w:ascii="Times New Roman" w:hAnsi="Times New Roman" w:cs="Times New Roman"/>
          <w:b w:val="0"/>
        </w:rPr>
        <w:t xml:space="preserve">, указанные приложения будут сформированы Заказчиком самостоятельно, а стоимость кажд</w:t>
      </w:r>
      <w:r>
        <w:rPr>
          <w:rFonts w:ascii="Times New Roman" w:hAnsi="Times New Roman" w:cs="Times New Roman"/>
          <w:b w:val="0"/>
        </w:rPr>
        <w:t xml:space="preserve">ой позиции будет рассчитана путём применения единого понижающего коэффициента к единичным расценкам, </w:t>
      </w:r>
      <w:r>
        <w:rPr>
          <w:rFonts w:ascii="Times New Roman" w:hAnsi="Times New Roman"/>
          <w:b w:val="0"/>
        </w:rPr>
        <w:t xml:space="preserve">указанные в </w:t>
      </w:r>
      <w:hyperlink w:tooltip="#_Приложение_1" w:anchor="_Приложение_1" w:history="1">
        <w:r>
          <w:rPr>
            <w:rStyle w:val="1437"/>
            <w:rFonts w:ascii="Times New Roman" w:hAnsi="Times New Roman"/>
            <w:b w:val="0"/>
          </w:rPr>
          <w:t xml:space="preserve">Приложении № 2 к части II «ИНФОРМАЦИОННАЯ КАРТА ЗАКУПКИ»</w:t>
        </w:r>
      </w:hyperlink>
      <w:r>
        <w:rPr>
          <w:rFonts w:ascii="Times New Roman" w:hAnsi="Times New Roman"/>
          <w:b w:val="0"/>
        </w:rPr>
        <w:t xml:space="preserve">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before="120"/>
        <w:tabs>
          <w:tab w:val="left" w:pos="459" w:leader="none"/>
        </w:tabs>
      </w:pPr>
      <w:r>
        <w:t xml:space="preserve">Понижающий коэффициент рассчитыв</w:t>
      </w:r>
      <w:r>
        <w:t xml:space="preserve">ается по формуле: </w:t>
      </w:r>
      <w:r/>
    </w:p>
    <w:p>
      <w:pPr>
        <w:jc w:val="center"/>
        <w:spacing w:before="120" w:after="120"/>
        <w:tabs>
          <w:tab w:val="left" w:pos="459" w:leader="none"/>
        </w:tabs>
      </w:pPr>
      <w:r>
        <w:rPr>
          <w:lang w:val="en-US"/>
        </w:rPr>
        <w:t xml:space="preserve">d</w:t>
      </w:r>
      <w:r>
        <w:t xml:space="preserve"> = </w:t>
      </w: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i</w:t>
      </w:r>
      <w:r>
        <w:t xml:space="preserve"> / </w:t>
      </w: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t xml:space="preserve">,</w:t>
      </w:r>
      <w:r/>
    </w:p>
    <w:p>
      <w:pPr>
        <w:pStyle w:val="1530"/>
        <w:ind w:left="0" w:firstLine="567"/>
      </w:pPr>
      <w:r>
        <w:t xml:space="preserve">где </w:t>
      </w:r>
      <w:r>
        <w:rPr>
          <w:lang w:val="en-US"/>
        </w:rPr>
        <w:t xml:space="preserve">d</w:t>
      </w:r>
      <w:r>
        <w:t xml:space="preserve"> – понижающий коэффициент;</w:t>
      </w:r>
      <w:r/>
    </w:p>
    <w:p>
      <w:pPr>
        <w:pStyle w:val="1530"/>
        <w:ind w:left="0" w:firstLine="567"/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i</w:t>
      </w:r>
      <w:r>
        <w:t xml:space="preserve"> – окончательная цена заявки Победителя закупки, без учета НДС</w:t>
      </w:r>
      <w:r>
        <w:rPr>
          <w:bCs/>
        </w:rPr>
        <w:t xml:space="preserve">;</w:t>
      </w:r>
      <w:r/>
    </w:p>
    <w:p>
      <w:pPr>
        <w:pStyle w:val="1530"/>
        <w:ind w:left="0" w:firstLine="567"/>
        <w:jc w:val="right"/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t xml:space="preserve"> </w:t>
      </w:r>
      <w:r>
        <w:rPr>
          <w:bCs/>
        </w:rPr>
        <w:t xml:space="preserve">– объявленная начальная (максимальная) цена договора (лота)</w:t>
      </w:r>
      <w:r>
        <w:t xml:space="preserve"> без учета НДС</w:t>
      </w:r>
      <w:r>
        <w:rPr>
          <w:bCs/>
        </w:rPr>
        <w:t xml:space="preserve">.</w:t>
      </w:r>
      <w:r/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протокола, в том числе посредством использования программно-аппаратных средств ЭТП. В случае необходимос</w:t>
      </w:r>
      <w:r>
        <w:rPr>
          <w:rFonts w:ascii="Times New Roman" w:hAnsi="Times New Roman" w:cs="Times New Roman"/>
          <w:b w:val="0"/>
        </w:rPr>
        <w:t xml:space="preserve">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</w:t>
      </w:r>
      <w:r>
        <w:rPr>
          <w:rFonts w:ascii="Times New Roman" w:hAnsi="Times New Roman" w:cs="Times New Roman"/>
          <w:b w:val="0"/>
        </w:rPr>
        <w:t xml:space="preserve">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</w:t>
      </w:r>
      <w:r>
        <w:rPr>
          <w:rFonts w:ascii="Times New Roman" w:hAnsi="Times New Roman" w:cs="Times New Roman"/>
          <w:b w:val="0"/>
          <w:bCs w:val="0"/>
        </w:rPr>
        <w:t xml:space="preserve">ии документа) подписанный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Заказчика. Участник подписывает проект договора</w:t>
      </w:r>
      <w:r>
        <w:rPr>
          <w:rFonts w:ascii="Times New Roman" w:hAnsi="Times New Roman" w:cs="Times New Roman"/>
          <w:b w:val="0"/>
          <w:bCs w:val="0"/>
        </w:rPr>
        <w:t xml:space="preserve"> в течение 3 (трех) рабочих дней и направляет его Заказчику.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</w:t>
      </w:r>
      <w:r>
        <w:rPr>
          <w:rFonts w:ascii="Times New Roman" w:hAnsi="Times New Roman" w:cs="Times New Roman"/>
          <w:b w:val="0"/>
          <w:bCs w:val="0"/>
        </w:rPr>
        <w:t xml:space="preserve">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</w:t>
      </w:r>
      <w:r>
        <w:rPr>
          <w:rFonts w:ascii="Times New Roman" w:hAnsi="Times New Roman" w:cs="Times New Roman"/>
          <w:b w:val="0"/>
          <w:bCs w:val="0"/>
        </w:rPr>
        <w:t xml:space="preserve">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</w:t>
      </w:r>
      <w:r>
        <w:rPr>
          <w:rFonts w:ascii="Times New Roman" w:hAnsi="Times New Roman" w:cs="Times New Roman"/>
          <w:b w:val="0"/>
          <w:bCs w:val="0"/>
        </w:rPr>
        <w:t xml:space="preserve">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участником, обеспечивает подписание такого дог</w:t>
      </w:r>
      <w:r>
        <w:rPr>
          <w:rFonts w:ascii="Times New Roman" w:hAnsi="Times New Roman" w:cs="Times New Roman"/>
          <w:b w:val="0"/>
          <w:bCs w:val="0"/>
        </w:rPr>
        <w:t xml:space="preserve">овора в срок, не превышающий 20 (двадцати) дней с даты размещения в ЕИС итогового протокола по результатам закупки.</w:t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Условие о подсудности разрешения споров по договору, указанное в части </w:t>
      </w:r>
      <w:hyperlink w:tooltip="#_ФОРМА_15._Справка" w:anchor="_ФОРМА_15._Справка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IV «П</w:t>
        </w:r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РОЕКТ ДОГОВОРА»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документации является существенным условием и не части изменению при проведении преддоговорных переговоров (в случае их проведения). Направление протокола разногласий к договору об изменении подсудности разрешения споров по догово</w:t>
      </w:r>
      <w:r>
        <w:rPr>
          <w:rFonts w:ascii="Times New Roman" w:hAnsi="Times New Roman" w:cs="Times New Roman"/>
          <w:b w:val="0"/>
          <w:bCs w:val="0"/>
        </w:rPr>
        <w:t xml:space="preserve">ру будет рассматриваться Заказчиком как уклонение от заключения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50" w:name="_Toc40"/>
      <w:r>
        <w:rPr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r>
        <w:rPr>
          <w:sz w:val="24"/>
          <w:szCs w:val="24"/>
        </w:rPr>
      </w:r>
      <w:bookmarkEnd w:id="250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установить в документации о закупке требование к обеспечен</w:t>
      </w:r>
      <w:r>
        <w:rPr>
          <w:rFonts w:ascii="Times New Roman" w:hAnsi="Times New Roman" w:cs="Times New Roman"/>
          <w:b w:val="0"/>
          <w:bCs w:val="0"/>
        </w:rPr>
        <w:t xml:space="preserve">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hyperlink w:tooltip="#_Размер_обеспечения_исполнения" w:anchor="_Размер_обеспечения_исполнения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21 части </w:t>
        </w:r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</w:t>
      </w:r>
      <w:hyperlink w:tooltip="#_Размер_обеспечения_исполнения" w:anchor="_Размер_обеспечения_исполнения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21 ча</w:t>
        </w:r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в форме независимой гарантии, а для лиц, указанных в п.6.2.5 - в форме поручительства. Выбор способа обеспечения исполнения договора осуществляется участником закупки самостоятельно. Предоставление обеспечения иным, не</w:t>
      </w:r>
      <w:r>
        <w:rPr>
          <w:rFonts w:ascii="Times New Roman" w:hAnsi="Times New Roman" w:cs="Times New Roman"/>
          <w:b w:val="0"/>
          <w:bCs w:val="0"/>
        </w:rPr>
        <w:t xml:space="preserve">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вв части </w:t>
      </w:r>
      <w:hyperlink w:tooltip="#_ФОРМА_15._Справка" w:anchor="_ФОРМА_15._Справка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IV «ПРОЕКТ ДОГОВОРА»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Style w:val="1437"/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</w:t>
      </w:r>
      <w:r>
        <w:rPr>
          <w:rFonts w:ascii="Times New Roman" w:hAnsi="Times New Roman" w:cs="Times New Roman"/>
          <w:b w:val="0"/>
          <w:bCs w:val="0"/>
        </w:rPr>
        <w:t xml:space="preserve">енные в качестве обеспечения исполнения договора возвращаются участнику в сроки, указанные в части </w:t>
      </w:r>
      <w:hyperlink w:tooltip="#_ФОРМА_15._Справка" w:anchor="_ФОРМА_15._Справка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IV «ПРОЕКТ ДОГОВОРА»</w:t>
        </w:r>
      </w:hyperlink>
      <w:r/>
      <w:hyperlink w:tooltip="#_ПРОЕКТ_ДОГОВОРА" w:anchor="_ПРОЕКТ_ДОГОВОРА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.</w:t>
        </w:r>
      </w:hyperlink>
      <w:r>
        <w:rPr>
          <w:rStyle w:val="1437"/>
          <w:rFonts w:ascii="Times New Roman" w:hAnsi="Times New Roman" w:cs="Times New Roman"/>
          <w:b w:val="0"/>
          <w:bCs w:val="0"/>
        </w:rPr>
      </w:r>
      <w:r>
        <w:rPr>
          <w:rStyle w:val="1437"/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</w:t>
      </w:r>
      <w:r>
        <w:rPr>
          <w:rFonts w:ascii="Times New Roman" w:hAnsi="Times New Roman" w:cs="Times New Roman"/>
          <w:b w:val="0"/>
        </w:rPr>
        <w:t xml:space="preserve"> по результатам закупки договор заключается с организациями, в отношении которых иностранными государствами введены ограничительные меры, а также организациями, в отношении бенефициарных </w:t>
      </w:r>
      <w:r>
        <w:rPr>
          <w:rFonts w:ascii="Times New Roman" w:hAnsi="Times New Roman" w:cs="Times New Roman"/>
          <w:b w:val="0"/>
          <w:spacing w:val="-4"/>
        </w:rPr>
        <w:t xml:space="preserve">владельцев (если совокупная доля их прямого и (или) косвенного участи</w:t>
      </w:r>
      <w:r>
        <w:rPr>
          <w:rFonts w:ascii="Times New Roman" w:hAnsi="Times New Roman" w:cs="Times New Roman"/>
          <w:b w:val="0"/>
          <w:spacing w:val="-4"/>
        </w:rPr>
        <w:t xml:space="preserve">я в этой</w:t>
      </w:r>
      <w:r>
        <w:rPr>
          <w:rFonts w:ascii="Times New Roman" w:hAnsi="Times New Roman" w:cs="Times New Roman"/>
          <w:b w:val="0"/>
        </w:rPr>
        <w:t xml:space="preserve"> организации составляет не менее 25 процентов) которых иностранными государствами введены ограничительные меры, обеспечение исполнения договора может быть представлено в форме поручительства аффилированных с такими организациями – участниками закуп</w:t>
      </w:r>
      <w:r>
        <w:rPr>
          <w:rFonts w:ascii="Times New Roman" w:hAnsi="Times New Roman" w:cs="Times New Roman"/>
          <w:b w:val="0"/>
        </w:rPr>
        <w:t xml:space="preserve">ки лиц (далее – Аффилированные лица):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numPr>
          <w:ilvl w:val="0"/>
          <w:numId w:val="24"/>
        </w:numPr>
        <w:ind w:left="0" w:firstLine="567"/>
        <w:spacing w:after="0"/>
      </w:pPr>
      <w:r>
        <w:t xml:space="preserve">обладающих кредитным рейтингом не ниже категории «А» по национальной рейтинговой шкале для Российской Федерации кредитного рейтингового агентства </w:t>
      </w:r>
      <w:r>
        <w:t xml:space="preserve">Аналитическое Кредитное Рейтинговое Агентство (Акционерное общество) или</w:t>
      </w:r>
      <w:r>
        <w:t xml:space="preserve"> кредитного рейтингового агентства Акционерное общество «Рейтинговое Агентство «Эксперт РА»;</w:t>
      </w:r>
      <w:r/>
    </w:p>
    <w:p>
      <w:pPr>
        <w:numPr>
          <w:ilvl w:val="0"/>
          <w:numId w:val="24"/>
        </w:numPr>
        <w:ind w:left="0" w:firstLine="567"/>
        <w:spacing w:after="0"/>
      </w:pPr>
      <w:r>
        <w:t xml:space="preserve">представивших заказчику сведения, подтверждающих платежеспособность Аффилированного лица (ежегодную или квартальную бухгалтерскую (финансовую) отчетность на послед</w:t>
      </w:r>
      <w:r>
        <w:t xml:space="preserve">нюю отчетную дату) (в копиях с отметкой Федеральной налоговой службы, заверенных печатью организации и подписанных руководителем организации);</w:t>
      </w:r>
      <w:r/>
    </w:p>
    <w:p>
      <w:pPr>
        <w:numPr>
          <w:ilvl w:val="0"/>
          <w:numId w:val="24"/>
        </w:numPr>
        <w:ind w:left="0" w:firstLine="567"/>
        <w:spacing w:after="0"/>
      </w:pPr>
      <w:r>
        <w:t xml:space="preserve">принявших обязательство письменно извещать заказчика в течение 3 рабочих дней со дня наступления следующих событи</w:t>
      </w:r>
      <w:r>
        <w:t xml:space="preserve">й: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изменение местонахождения, учредительных документов, органов управления Аффилированного лица, банковс</w:t>
      </w:r>
      <w:r>
        <w:t xml:space="preserve">ких реквизитов Аффилированного лица;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принятие решения о реорганизации или ликвидации Аффилированного лица;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принятие судом к производству заявления о признании Аффилированного лица несостоятельным (банкротом);</w:t>
      </w:r>
      <w:r/>
    </w:p>
    <w:p>
      <w:pPr>
        <w:numPr>
          <w:ilvl w:val="0"/>
          <w:numId w:val="24"/>
        </w:numPr>
        <w:ind w:left="0" w:firstLine="567"/>
        <w:spacing w:after="0"/>
        <w:rPr>
          <w:spacing w:val="-4"/>
        </w:rPr>
      </w:pPr>
      <w:r>
        <w:t xml:space="preserve">представивших заказчику </w:t>
      </w:r>
      <w:r>
        <w:rPr>
          <w:spacing w:val="-4"/>
        </w:rPr>
        <w:t xml:space="preserve">письма (оригинал), подт</w:t>
      </w:r>
      <w:r>
        <w:rPr>
          <w:spacing w:val="-4"/>
        </w:rPr>
        <w:t xml:space="preserve">верждающего, что в отношении контрагента участника закупки/бенефициарного владельца контрагента иностранными государствами введены ограничительные меры, а также содержащее сопроводительные документы, подтверждающие достоверность представленных в письме све</w:t>
      </w:r>
      <w:r>
        <w:rPr>
          <w:spacing w:val="-4"/>
        </w:rPr>
        <w:t xml:space="preserve">дений со ссылкой на источники информации (оригинал/копия, заверенная Аффилированным лицом);</w:t>
      </w:r>
      <w:r>
        <w:rPr>
          <w:spacing w:val="-4"/>
        </w:rPr>
      </w:r>
      <w:r>
        <w:rPr>
          <w:spacing w:val="-4"/>
        </w:rPr>
      </w:r>
    </w:p>
    <w:p>
      <w:pPr>
        <w:numPr>
          <w:ilvl w:val="0"/>
          <w:numId w:val="24"/>
        </w:numPr>
        <w:ind w:left="0" w:firstLine="567"/>
        <w:spacing w:after="0"/>
      </w:pPr>
      <w:r>
        <w:t xml:space="preserve"> представление документов, подтверждающих аффилированность лица с контрагентом, в отношении которого предоставляется поручительство (оригинал/ копия, заверенная Афф</w:t>
      </w:r>
      <w:r>
        <w:t xml:space="preserve">илированным лицом);</w:t>
      </w:r>
      <w:r/>
    </w:p>
    <w:p>
      <w:pPr>
        <w:numPr>
          <w:ilvl w:val="0"/>
          <w:numId w:val="24"/>
        </w:numPr>
        <w:ind w:left="0" w:firstLine="567"/>
        <w:spacing w:after="0"/>
        <w:rPr>
          <w:spacing w:val="-4"/>
        </w:rPr>
      </w:pPr>
      <w:r>
        <w:t xml:space="preserve">представление иных дополнительных документов либо сведений по запросу Общества при наступлении одного из событий, указанных в пункте 6.2.5 в).</w:t>
      </w:r>
      <w:r>
        <w:rPr>
          <w:spacing w:val="-4"/>
        </w:rPr>
      </w:r>
      <w:r>
        <w:rPr>
          <w:spacing w:val="-4"/>
        </w:rPr>
      </w:r>
    </w:p>
    <w:p>
      <w:pPr>
        <w:ind w:firstLine="567"/>
        <w:spacing w:after="0"/>
        <w:tabs>
          <w:tab w:val="left" w:pos="0" w:leader="none"/>
          <w:tab w:val="left" w:pos="845" w:leader="none"/>
        </w:tabs>
      </w:pPr>
      <w:r>
        <w:rPr>
          <w:spacing w:val="-4"/>
        </w:rPr>
        <w:t xml:space="preserve">При наступлении одного из </w:t>
      </w:r>
      <w:r>
        <w:t xml:space="preserve">событий, указанных в пункте 6.2.5 в), либо в случае несоответствия </w:t>
      </w:r>
      <w:r>
        <w:t xml:space="preserve">Аффилированного лица критериям, указанным в пункте 6.2.5, </w:t>
      </w:r>
      <w:r>
        <w:rPr>
          <w:spacing w:val="-4"/>
        </w:rPr>
        <w:t xml:space="preserve">а также в случае отказа Аффилированного лица от представления документов, предусмотренных п. </w:t>
      </w:r>
      <w:r>
        <w:t xml:space="preserve">6.2.5</w:t>
      </w:r>
      <w:r>
        <w:rPr>
          <w:spacing w:val="-4"/>
        </w:rPr>
        <w:t xml:space="preserve">, Заказчик вправе отказаться от принятия поручительства Аффилированного лица/требовать замены ранее </w:t>
      </w:r>
      <w:r>
        <w:rPr>
          <w:spacing w:val="-4"/>
        </w:rPr>
        <w:t xml:space="preserve">предоставленного поручительства Аффилированного лица на независимую гарантию, на поручительство иного Аффилированного лица, на иное обеспечение обязательств, предусмотренное условиями договора.</w:t>
      </w:r>
      <w:r/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spacing w:val="-4"/>
        </w:rPr>
      </w:pPr>
      <w:r>
        <w:rPr>
          <w:rFonts w:ascii="Times New Roman" w:hAnsi="Times New Roman" w:cs="Times New Roman"/>
          <w:b w:val="0"/>
          <w:spacing w:val="-4"/>
        </w:rPr>
        <w:t xml:space="preserve">В случае предоставления обеспечения исполнения договора в форм</w:t>
      </w:r>
      <w:r>
        <w:rPr>
          <w:rFonts w:ascii="Times New Roman" w:hAnsi="Times New Roman" w:cs="Times New Roman"/>
          <w:b w:val="0"/>
          <w:spacing w:val="-4"/>
        </w:rPr>
        <w:t xml:space="preserve">е поручительства, договор дополняется соответствующим разделом в ходе преддоговорных переговоров. </w:t>
      </w:r>
      <w:r>
        <w:rPr>
          <w:rFonts w:ascii="Times New Roman" w:hAnsi="Times New Roman" w:cs="Times New Roman"/>
          <w:b w:val="0"/>
          <w:spacing w:val="-4"/>
        </w:rPr>
      </w:r>
      <w:r>
        <w:rPr>
          <w:rFonts w:ascii="Times New Roman" w:hAnsi="Times New Roman" w:cs="Times New Roman"/>
          <w:b w:val="0"/>
          <w:spacing w:val="-4"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bCs w:val="0"/>
          <w:smallCaps/>
        </w:rPr>
      </w:pPr>
      <w:r/>
      <w:bookmarkStart w:id="251" w:name="_Toc41"/>
      <w:r/>
      <w:bookmarkStart w:id="105" w:name="_Требования_к_условиям"/>
      <w:r/>
      <w:bookmarkEnd w:id="105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r>
        <w:rPr>
          <w:bCs w:val="0"/>
          <w:smallCaps/>
        </w:rPr>
      </w:r>
      <w:bookmarkEnd w:id="251"/>
      <w:r/>
      <w:r>
        <w:rPr>
          <w:bCs w:val="0"/>
          <w:smallCaps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выборе участником закупки способа обеспечения договора в </w:t>
      </w:r>
      <w:r>
        <w:rPr>
          <w:rFonts w:ascii="Times New Roman" w:hAnsi="Times New Roman" w:cs="Times New Roman"/>
          <w:b w:val="0"/>
          <w:bCs w:val="0"/>
        </w:rPr>
        <w:t xml:space="preserve">форме независимой гарантии участник должен предоставить независимую гарантию, составленную с учетом требований статей </w:t>
      </w:r>
      <w:hyperlink r:id="rId29" w:tooltip="https://www.consultant.ru/document/cons_doc_LAW_5142/03edc46b2ef855fddfaaa3d77dac1d071ef3dba1/" w:history="1">
        <w:r>
          <w:rPr>
            <w:rFonts w:ascii="Times New Roman" w:hAnsi="Times New Roman" w:cs="Times New Roman"/>
            <w:b w:val="0"/>
            <w:bCs w:val="0"/>
            <w:color w:val="0000ff"/>
            <w:u w:val="single"/>
          </w:rPr>
          <w:t xml:space="preserve">368</w:t>
        </w:r>
      </w:hyperlink>
      <w:r>
        <w:rPr>
          <w:rFonts w:ascii="Times New Roman" w:hAnsi="Times New Roman" w:cs="Times New Roman"/>
          <w:b w:val="0"/>
          <w:bCs w:val="0"/>
        </w:rPr>
        <w:t xml:space="preserve">-</w:t>
      </w:r>
      <w:hyperlink r:id="rId30" w:tooltip="https://www.consultant.ru/document/cons_doc_LAW_5142/e8b1dba1c6def4f632470a9857908caf60fec137/" w:history="1">
        <w:r>
          <w:rPr>
            <w:rFonts w:ascii="Times New Roman" w:hAnsi="Times New Roman" w:cs="Times New Roman"/>
            <w:b w:val="0"/>
            <w:bCs w:val="0"/>
            <w:color w:val="0000ff"/>
            <w:u w:val="single"/>
          </w:rPr>
          <w:t xml:space="preserve">379</w:t>
        </w:r>
      </w:hyperlink>
      <w:r>
        <w:rPr>
          <w:rFonts w:ascii="Times New Roman" w:hAnsi="Times New Roman" w:cs="Times New Roman"/>
          <w:b w:val="0"/>
          <w:bCs w:val="0"/>
        </w:rPr>
        <w:t xml:space="preserve"> Гражданского кодекса Российской Федерации и следующих условий: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numPr>
          <w:ilvl w:val="0"/>
          <w:numId w:val="26"/>
        </w:numPr>
        <w:ind w:left="0" w:firstLine="567"/>
        <w:spacing w:after="0"/>
      </w:pPr>
      <w:r>
        <w:rPr>
          <w:bCs/>
        </w:rPr>
        <w:t xml:space="preserve">независимая гарантия должна быть выдана гарантом, предусмотренным </w:t>
      </w:r>
      <w:hyperlink r:id="rId31" w:tooltip="https://www.consultant.ru/document/cons_doc_LAW_144624/af90cad46f4484d18fa490ef1c9d7a3b2fd3be3b/#dst2441" w:anchor="dst2441" w:history="1">
        <w:r>
          <w:rPr>
            <w:rStyle w:val="1437"/>
            <w:bCs/>
          </w:rPr>
          <w:t xml:space="preserve">частью 1 статьи 45 Федерального закона от 5 апреля 2013 года № 44-ФЗ «О контрактной системе в сфере закупок тов</w:t>
        </w:r>
        <w:r>
          <w:rPr>
            <w:rStyle w:val="1437"/>
            <w:bCs/>
          </w:rPr>
          <w:t xml:space="preserve">аров, работ, услуг для обеспечения государственных и муниципальных нужд»</w:t>
        </w:r>
      </w:hyperlink>
      <w:r>
        <w:rPr>
          <w:bCs/>
        </w:rPr>
        <w:t xml:space="preserve">;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независимая гарантия должна быть безотзывной;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срок действия независимой гарантии должен начинаться не позднее даты заключения договора (в случае заключения дополнительного соглашения</w:t>
      </w:r>
      <w:r>
        <w:t xml:space="preserve">, предусматривающего предоставление независимой гарантии впервые - не позднее даты заключения дополнительного соглашения) и заканчиваться не ранее чем через 60 </w:t>
      </w:r>
      <w:r>
        <w:rPr>
          <w:bCs/>
        </w:rPr>
        <w:t xml:space="preserve">календарных </w:t>
      </w:r>
      <w:r>
        <w:t xml:space="preserve">дней после планируемого срока исполнения контрагентом обязательств по договору;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в не</w:t>
      </w:r>
      <w:r>
        <w:t xml:space="preserve">зависимой гарантии должно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бенефициара.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независимая гарантия не должна предоставлять гаранту возможность требовать от бен</w:t>
      </w:r>
      <w:r>
        <w:t xml:space="preserve">ефициара для совершения платежа по независимой гарантии предоставления каких-либо документов за исключением:</w:t>
      </w:r>
      <w:r/>
    </w:p>
    <w:p>
      <w:pPr>
        <w:pStyle w:val="1530"/>
        <w:numPr>
          <w:ilvl w:val="0"/>
          <w:numId w:val="23"/>
        </w:numPr>
        <w:ind w:left="0" w:firstLine="567"/>
        <w:jc w:val="both"/>
        <w:tabs>
          <w:tab w:val="left" w:pos="1418" w:leader="none"/>
        </w:tabs>
      </w:pPr>
      <w:r>
        <w:t xml:space="preserve">надлежащим образом оформленного требования бенефициара;</w:t>
      </w:r>
      <w:r/>
    </w:p>
    <w:p>
      <w:pPr>
        <w:pStyle w:val="1530"/>
        <w:numPr>
          <w:ilvl w:val="0"/>
          <w:numId w:val="23"/>
        </w:numPr>
        <w:ind w:left="0" w:firstLine="567"/>
        <w:jc w:val="both"/>
        <w:tabs>
          <w:tab w:val="left" w:pos="1418" w:leader="none"/>
        </w:tabs>
      </w:pPr>
      <w:r>
        <w:t xml:space="preserve">документов, подтверждающих полномочия лица, подписавшего требование от имени бенефициара;</w:t>
      </w:r>
      <w:r/>
    </w:p>
    <w:p>
      <w:pPr>
        <w:pStyle w:val="1530"/>
        <w:numPr>
          <w:ilvl w:val="0"/>
          <w:numId w:val="23"/>
        </w:numPr>
        <w:ind w:left="0" w:firstLine="567"/>
        <w:jc w:val="both"/>
        <w:tabs>
          <w:tab w:val="left" w:pos="1418" w:leader="none"/>
        </w:tabs>
      </w:pPr>
      <w:r>
        <w:t xml:space="preserve">перечисленных в явном виде в тексте независимой гарантии информационных справок, для заверения которых достаточно подписи представителя бенефициара.</w:t>
      </w:r>
      <w:r/>
    </w:p>
    <w:p>
      <w:pPr>
        <w:numPr>
          <w:ilvl w:val="2"/>
          <w:numId w:val="1"/>
        </w:numPr>
        <w:ind w:left="0" w:firstLine="567"/>
        <w:spacing w:after="0"/>
        <w:widowControl w:val="off"/>
        <w:rPr>
          <w:bCs/>
        </w:rPr>
        <w:outlineLvl w:val="2"/>
      </w:pPr>
      <w:r>
        <w:rPr>
          <w:bCs/>
        </w:rPr>
        <w:t xml:space="preserve">Гарант, выдающий независимую гарантию, должен отвечать всем нижеследующим требованиям: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27"/>
        </w:numPr>
        <w:ind w:left="0" w:firstLine="567"/>
        <w:spacing w:after="0"/>
      </w:pPr>
      <w:r>
        <w:rPr>
          <w:rStyle w:val="1576"/>
        </w:rPr>
        <w:t xml:space="preserve">кредитная организаци</w:t>
      </w:r>
      <w:r>
        <w:rPr>
          <w:rStyle w:val="1576"/>
        </w:rPr>
        <w:t xml:space="preserve">я обладает действующей лицензией на банковскую деятельность, выданной Банком России</w:t>
      </w:r>
      <w:r>
        <w:rPr>
          <w:rStyle w:val="1576"/>
          <w:vertAlign w:val="superscript"/>
        </w:rPr>
        <w:footnoteReference w:customMarkFollows="1" w:id="10"/>
        <w:t xml:space="preserve">1</w:t>
      </w:r>
      <w:r>
        <w:rPr>
          <w:rStyle w:val="1576"/>
        </w:rPr>
        <w:t xml:space="preserve">, и в отношении данной кредитной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>
        <w:rPr>
          <w:rStyle w:val="1576"/>
          <w:vertAlign w:val="superscript"/>
        </w:rPr>
        <w:footnoteReference w:customMarkFollows="1" w:id="11"/>
        <w:t xml:space="preserve">2</w:t>
      </w:r>
      <w:r>
        <w:t xml:space="preserve">;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rPr>
          <w:rStyle w:val="1576"/>
        </w:rPr>
        <w:t xml:space="preserve">кред</w:t>
      </w:r>
      <w:r>
        <w:rPr>
          <w:rStyle w:val="1576"/>
        </w:rPr>
        <w:t xml:space="preserve">итная организация 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</w:t>
      </w:r>
      <w:r>
        <w:rPr>
          <w:rStyle w:val="1576"/>
        </w:rPr>
        <w:t xml:space="preserve">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</w:t>
      </w:r>
      <w:r>
        <w:t xml:space="preserve">;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t xml:space="preserve">кредитная организация не находится в процессе ликвидации или банкротства;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t xml:space="preserve">кредитная организация входит </w:t>
      </w:r>
      <w:r>
        <w:t xml:space="preserve">в перечень кредитных организаций, соответствующих требованиям, установленным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</w:t>
      </w:r>
      <w:r>
        <w:t xml:space="preserve">-ФЗ и постановлением Правительства Российской Федерации от 20.06.2018 № 706;</w:t>
      </w:r>
      <w:r>
        <w:rPr>
          <w:rFonts w:eastAsia="Arial Unicode MS" w:cs="Arial Unicode MS"/>
          <w:color w:val="000000"/>
          <w:sz w:val="28"/>
          <w:szCs w:val="28"/>
        </w:rPr>
        <w:t xml:space="preserve"> 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t xml:space="preserve"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</w:t>
      </w:r>
      <w:r>
        <w:t xml:space="preserve">дов</w:t>
      </w:r>
      <w:r>
        <w:rPr>
          <w:vertAlign w:val="superscript"/>
        </w:rPr>
        <w:footnoteReference w:customMarkFollows="1" w:id="12"/>
        <w:t xml:space="preserve">3.</w:t>
      </w:r>
      <w:r/>
    </w:p>
    <w:p>
      <w:pPr>
        <w:numPr>
          <w:ilvl w:val="0"/>
          <w:numId w:val="27"/>
        </w:numPr>
        <w:ind w:left="0" w:firstLine="567"/>
        <w:keepNext/>
        <w:spacing w:after="0"/>
      </w:pPr>
      <w:r>
        <w:rPr>
          <w:u w:val="single"/>
        </w:rPr>
        <w:t xml:space="preserve">Требования к банкам-гарантам для отдельных видов гарантий</w:t>
      </w:r>
      <w:r>
        <w:rPr>
          <w:u w:val="single"/>
          <w:vertAlign w:val="superscript"/>
        </w:rPr>
        <w:footnoteReference w:customMarkFollows="1" w:id="13"/>
        <w:t xml:space="preserve">4</w:t>
      </w:r>
      <w:r/>
    </w:p>
    <w:tbl>
      <w:tblPr>
        <w:tblW w:w="9354" w:type="dxa"/>
        <w:tblInd w:w="8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2"/>
        <w:gridCol w:w="2268"/>
        <w:gridCol w:w="1843"/>
        <w:gridCol w:w="1701"/>
      </w:tblGrid>
      <w:tr>
        <w:tblPrEx/>
        <w:trPr>
          <w:trHeight w:val="89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Критерии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  <w:vertAlign w:val="superscript"/>
              </w:rPr>
              <w:footnoteReference w:id="14"/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  <w:vertAlign w:val="superscript"/>
              </w:rPr>
              <w:t xml:space="preserve">5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Независимая гарантия обеспечения заявки участника закупочной процедуры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b/>
                <w:color w:val="000000"/>
                <w:sz w:val="20"/>
                <w:szCs w:val="20"/>
              </w:rPr>
              <w:t xml:space="preserve">Независимая гарантия на возврат авансовых платежей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b/>
                <w:color w:val="000000"/>
                <w:sz w:val="20"/>
                <w:szCs w:val="20"/>
              </w:rPr>
              <w:t xml:space="preserve">Независимая гарантия обеспечения гарантийных обязательств по договору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Размер собственного капитала банка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footnoteReference w:id="15"/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t xml:space="preserve">6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10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10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10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2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9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Наличие долгосрочного кредитного рейтинга (в соответствии с п. 6.3.2 ж)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применяется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Для независимых гарантий с суммой более 15 млн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Для независимых гарантий с суммой более 15 млн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</w:tbl>
    <w:p>
      <w:pPr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numPr>
          <w:ilvl w:val="0"/>
          <w:numId w:val="27"/>
        </w:numPr>
        <w:ind w:left="0" w:firstLine="567"/>
        <w:spacing w:after="0"/>
        <w:rPr>
          <w:rFonts w:eastAsia="Arial Unicode MS" w:cs="Arial Unicode MS"/>
          <w:color w:val="000000"/>
        </w:rPr>
      </w:pPr>
      <w:r>
        <w:t xml:space="preserve">гарант имеет </w:t>
      </w:r>
      <w:r>
        <w:rPr>
          <w:rFonts w:eastAsia="Arial Unicode MS" w:cs="Arial Unicode MS"/>
          <w:color w:val="000000"/>
        </w:rPr>
        <w:t xml:space="preserve">долгосрочный кредитный рейтинг по национальной шкале, присвоенный аккредитованными Банком России рейтинговыми агентствами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16"/>
        <w:t xml:space="preserve">8</w:t>
      </w:r>
      <w:r>
        <w:rPr>
          <w:rFonts w:eastAsia="Arial Unicode MS" w:cs="Arial Unicode MS"/>
          <w:color w:val="000000"/>
        </w:rPr>
        <w:t xml:space="preserve">. При наличии у банка нескольких рейтингов учитывается наилучший. Требования к уровню рейтинга, приемлемого для принятия независимой г</w:t>
      </w:r>
      <w:r>
        <w:rPr>
          <w:rFonts w:eastAsia="Arial Unicode MS" w:cs="Arial Unicode MS"/>
          <w:color w:val="000000"/>
        </w:rPr>
        <w:t xml:space="preserve">арантии, приведены ниже в таблице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17"/>
        <w:t xml:space="preserve">9</w:t>
      </w:r>
      <w:r>
        <w:rPr>
          <w:rFonts w:eastAsia="Arial Unicode MS" w:cs="Arial Unicode MS"/>
          <w:color w:val="000000"/>
        </w:rPr>
        <w:t xml:space="preserve">.</w:t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ind w:left="567"/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tbl>
      <w:tblPr>
        <w:tblW w:w="9460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2"/>
        <w:gridCol w:w="2409"/>
        <w:gridCol w:w="2250"/>
        <w:gridCol w:w="2339"/>
      </w:tblGrid>
      <w:tr>
        <w:tblPrEx/>
        <w:trPr>
          <w:jc w:val="center"/>
          <w:trHeight w:val="300"/>
          <w:tblHeader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АКРА (АО)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АО «Эксперт РА»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14" w:type="dxa"/>
              <w:top w:w="80" w:type="dxa"/>
              <w:right w:w="80" w:type="dxa"/>
              <w:bottom w:w="8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ind w:left="-548" w:hanging="105"/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«НКР»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339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«НРА»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BBB-(RU)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ruBBB-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BBB-.ru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33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BBB-|ru|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</w:tr>
    </w:tbl>
    <w:p>
      <w:pPr>
        <w:spacing w:after="0"/>
        <w:tabs>
          <w:tab w:val="num" w:pos="1418" w:leader="none"/>
        </w:tabs>
        <w:outlineLvl w:val="2"/>
      </w:pPr>
      <w:r/>
      <w:r/>
    </w:p>
    <w:p>
      <w:pPr>
        <w:numPr>
          <w:ilvl w:val="0"/>
          <w:numId w:val="27"/>
        </w:numPr>
        <w:ind w:left="0" w:firstLine="567"/>
        <w:spacing w:after="0"/>
        <w:rPr>
          <w:rFonts w:eastAsia="Arial Unicode MS" w:cs="Arial Unicode MS"/>
          <w:color w:val="000000"/>
        </w:rPr>
      </w:pPr>
      <w:r>
        <w:t xml:space="preserve">отсутствие у банка-гаранта в течение предшествующих 24 месяцев прецедентов просрочки исполнения платежных обязательств перед Заказчиком по независимым гарантиям, выданным принципалу, предоставляющему независимую гарантию</w:t>
      </w:r>
      <w:r>
        <w:rPr>
          <w:rFonts w:eastAsia="Arial Unicode MS" w:cs="Arial Unicode MS"/>
          <w:color w:val="000000"/>
        </w:rPr>
        <w:t xml:space="preserve">.</w:t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spacing w:after="0"/>
        <w:tabs>
          <w:tab w:val="num" w:pos="1418" w:leader="none"/>
        </w:tabs>
        <w:outlineLvl w:val="2"/>
      </w:pPr>
      <w:r/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outlineLvl w:val="2"/>
      </w:pPr>
      <w:r>
        <w:t xml:space="preserve">Лимит на общую сумму единовременн</w:t>
      </w:r>
      <w:r>
        <w:t xml:space="preserve">о действующих гарантий, принятых Обществом для каждого из банков, удовлетворяющих условиям п.п. 6.3.2 а) – е) закупочной документации, устанавливается в размере 10% от собственного капитала банка.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outlineLvl w:val="2"/>
      </w:pPr>
      <w:r>
        <w:t xml:space="preserve">В случае снижения рейтинга (ниже минимально допустимого в с</w:t>
      </w:r>
      <w:r>
        <w:t xml:space="preserve">оответствии с п. 6.3.2 ж) уровня) принятие новых гарантий банка приостанавливается.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outlineLvl w:val="2"/>
      </w:pPr>
      <w:r>
        <w:t xml:space="preserve">В случае снижения собственного капитала банка, приведшего к превышению объема фактически выбранных независимых гарантий над установленным лимитом, принятие новых гарантий б</w:t>
      </w:r>
      <w:r>
        <w:t xml:space="preserve">анка приостанавливается.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независимых гарантий данной кр</w:t>
      </w:r>
      <w:r>
        <w:rPr>
          <w:bCs/>
        </w:rPr>
        <w:t xml:space="preserve">едитной организации может быть приостановлен.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Вместе с гарантией победитель представляет следующие документы подтверждающие полномочия лица, подписавшего гарантию от имени гаранта: доверенность на уполномоченное лицо, действующее от имени гаранта (оригинал</w:t>
      </w:r>
      <w:r>
        <w:rPr>
          <w:bCs/>
        </w:rPr>
        <w:t xml:space="preserve">/нотариально заверенная копия/копия, заверенная гарантом) (в случае если независимая гарантия подписана уполномоченным лицом, действующим от имени гаранта на основании доверенности), а также решение (выписка из протокола) уполномоченного органа управления </w:t>
      </w:r>
      <w:r>
        <w:rPr>
          <w:bCs/>
        </w:rPr>
        <w:t xml:space="preserve">гаранта о назначении (избрании) единоличного исполнительного органа гаранта (копия, заверенная гарантом).  К доверенности, выданной в порядке передоверия, должна прилагаться доверенность на уполномоченное лицо, выдавшее доверенность в порядке передоверия (</w:t>
      </w:r>
      <w:r>
        <w:rPr>
          <w:bCs/>
        </w:rPr>
        <w:t xml:space="preserve">оригинал/нотариально заверенная копия/ копия, заверенная гарантом).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Возврат оригинала независимой гарантии поставщику (подрядчику, исполнителю) осуществляется по инициативе поставщика (подрядчиком, исполнитель) в следующих случаях: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20"/>
        </w:numPr>
        <w:ind w:left="0" w:firstLine="567"/>
        <w:spacing w:after="0"/>
      </w:pPr>
      <w:r>
        <w:t xml:space="preserve">если поставщиком (подрядчиком, исполнителем) исполнены обязательства, исполнение которых покрывала независимая гарантия и Заказчиком исполнены обязательства по оплате;</w:t>
      </w:r>
      <w:r/>
    </w:p>
    <w:p>
      <w:pPr>
        <w:numPr>
          <w:ilvl w:val="0"/>
          <w:numId w:val="20"/>
        </w:numPr>
        <w:ind w:left="0" w:firstLine="567"/>
        <w:spacing w:after="0"/>
      </w:pPr>
      <w:r>
        <w:t xml:space="preserve">при замене независимой гарантии;</w:t>
      </w:r>
      <w:r/>
    </w:p>
    <w:p>
      <w:pPr>
        <w:numPr>
          <w:ilvl w:val="0"/>
          <w:numId w:val="20"/>
        </w:numPr>
        <w:ind w:left="0" w:firstLine="567"/>
        <w:spacing w:after="0"/>
      </w:pPr>
      <w:r>
        <w:t xml:space="preserve">по истечении срока действия независимой гарантии;</w:t>
      </w:r>
      <w:r/>
    </w:p>
    <w:p>
      <w:pPr>
        <w:numPr>
          <w:ilvl w:val="0"/>
          <w:numId w:val="20"/>
        </w:numPr>
        <w:ind w:left="0" w:firstLine="567"/>
        <w:spacing w:after="0"/>
      </w:pPr>
      <w:r>
        <w:t xml:space="preserve">в ины</w:t>
      </w:r>
      <w:r>
        <w:t xml:space="preserve">х случаях, предусмотренных договором.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Возврат поставщику (подрядчику, исполнителю) независимых гарантий, по которым Заказчиком предъявлены требования об оплате, не производится.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Взыскание (предъявление требований) по независимой гарантии производится при н</w:t>
      </w:r>
      <w:r>
        <w:rPr>
          <w:bCs/>
        </w:rPr>
        <w:t xml:space="preserve">аступлении обстоятельств, предусмотренных независимой гарантией.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/>
          <w:bCs/>
        </w:rPr>
        <w:outlineLvl w:val="2"/>
      </w:pPr>
      <w:r>
        <w:t xml:space="preserve">Срок предоставления независимой гарантии, форма независимой гарантии, Акт приема-передачи независимой(ых) гарантии(й)/ изменений к независимой гарантии, иные требования, связанные с независим</w:t>
      </w:r>
      <w:r>
        <w:t xml:space="preserve">ой гарантией, установлены в</w:t>
      </w:r>
      <w:r>
        <w:rPr>
          <w:b/>
          <w:bCs/>
        </w:rPr>
        <w:t xml:space="preserve"> </w:t>
      </w:r>
      <w:r>
        <w:rPr>
          <w:bCs/>
        </w:rPr>
        <w:t xml:space="preserve">части </w:t>
      </w:r>
      <w:hyperlink w:tooltip="#_ФОРМА_15._Справка" w:anchor="_IV._ПРОЕКТ" w:history="1">
        <w:r>
          <w:rPr>
            <w:rStyle w:val="1437"/>
            <w:bCs/>
          </w:rPr>
          <w:t xml:space="preserve">IV «ПРОЕКТ ДОГОВОРА»</w:t>
        </w:r>
      </w:hyperlink>
      <w:r>
        <w:t xml:space="preserve"> и части </w:t>
      </w:r>
      <w:hyperlink w:tooltip="#_Типовые_формы_независимых" w:anchor="_VII._ТИПОВ" w:history="1">
        <w:r>
          <w:rPr>
            <w:rStyle w:val="1437"/>
          </w:rPr>
          <w:t xml:space="preserve">VII «ТИПОВЫЕ ФОРМЫ НЕЗАВИСИМЫХ ГАРАНТИЙ»</w:t>
        </w:r>
      </w:hyperlink>
      <w: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bCs w:val="0"/>
          <w:sz w:val="24"/>
          <w:szCs w:val="24"/>
        </w:rPr>
      </w:pPr>
      <w:r/>
      <w:bookmarkStart w:id="252" w:name="_Toc42"/>
      <w:r>
        <w:rPr>
          <w:bCs w:val="0"/>
          <w:sz w:val="24"/>
          <w:szCs w:val="24"/>
        </w:rPr>
        <w:t xml:space="preserve">Отказ от заключения договора</w:t>
      </w:r>
      <w:r>
        <w:rPr>
          <w:bCs w:val="0"/>
          <w:sz w:val="24"/>
          <w:szCs w:val="24"/>
        </w:rPr>
      </w:r>
      <w:bookmarkEnd w:id="252"/>
      <w:r/>
      <w:r>
        <w:rPr>
          <w:bCs w:val="0"/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</w:t>
      </w:r>
      <w:r>
        <w:rPr>
          <w:rFonts w:ascii="Times New Roman" w:hAnsi="Times New Roman" w:cs="Times New Roman"/>
          <w:b w:val="0"/>
        </w:rPr>
        <w:t xml:space="preserve">казчик отказывается от заключения договора с победителем (единственным участником закупки, с которым планируется заключить договора) в любой момент до заключения договора, если Заказчик или Закупочная комиссия обнаружит, что участник закупки не соответству</w:t>
      </w:r>
      <w:r>
        <w:rPr>
          <w:rFonts w:ascii="Times New Roman" w:hAnsi="Times New Roman" w:cs="Times New Roman"/>
          <w:b w:val="0"/>
        </w:rPr>
        <w:t xml:space="preserve">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/>
      <w:bookmarkStart w:id="108" w:name="_Ref302129490"/>
      <w:r>
        <w:rPr>
          <w:rFonts w:ascii="Times New Roman" w:hAnsi="Times New Roman" w:cs="Times New Roman"/>
          <w:b w:val="0"/>
        </w:rPr>
        <w:t xml:space="preserve">Участник закупки, признанный победителем, утрачивает статус победителя, и его действия (бездей</w:t>
      </w:r>
      <w:r>
        <w:rPr>
          <w:rFonts w:ascii="Times New Roman" w:hAnsi="Times New Roman" w:cs="Times New Roman"/>
          <w:b w:val="0"/>
        </w:rPr>
        <w:t xml:space="preserve">ствия) означают отказ от заключения договора в следующих случаях:</w:t>
      </w:r>
      <w:bookmarkEnd w:id="108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553"/>
        <w:numPr>
          <w:ilvl w:val="0"/>
          <w:numId w:val="9"/>
        </w:numPr>
        <w:ind w:left="0" w:firstLine="567"/>
        <w:widowControl w:val="o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46"/>
        <w:numPr>
          <w:ilvl w:val="0"/>
          <w:numId w:val="9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 предоставл</w:t>
      </w:r>
      <w:r>
        <w:t xml:space="preserve">ения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</w:t>
      </w:r>
      <w:r>
        <w:t xml:space="preserve">олнения договора и срок его предоставления до заключения договора);</w:t>
      </w:r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pStyle w:val="1546"/>
        <w:numPr>
          <w:ilvl w:val="0"/>
          <w:numId w:val="9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 предоставления документа, подтверждающего решение об одобрении заключения крупной сделки либо сделки с заинтересованностью, в случае если победитель закупки (единственный участник соотв</w:t>
      </w:r>
      <w:r>
        <w:t xml:space="preserve">етствующий требованиям документации о закупке) не задекларировал в своей заявке (данная декларация содержится в письме о подаче оферты) отсутствие необходимости одобрения сделки как крупной или как сделки с заинтересованностью.</w:t>
      </w:r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 победител</w:t>
      </w:r>
      <w:r>
        <w:rPr>
          <w:rFonts w:ascii="Times New Roman" w:hAnsi="Times New Roman" w:cs="Times New Roman"/>
          <w:b w:val="0"/>
        </w:rPr>
        <w:t xml:space="preserve">ь закупки будет признан уклонившимся от заключения договора, договор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</w:t>
      </w:r>
      <w:r>
        <w:rPr>
          <w:rFonts w:ascii="Times New Roman" w:hAnsi="Times New Roman" w:cs="Times New Roman"/>
          <w:b w:val="0"/>
        </w:rPr>
        <w:t xml:space="preserve">ия договора, следующие после условий, предложенных победителем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53" w:name="_Toc43"/>
      <w:r>
        <w:rPr>
          <w:sz w:val="24"/>
          <w:szCs w:val="24"/>
        </w:rPr>
        <w:t xml:space="preserve">Изменение и расторжение договора</w:t>
      </w:r>
      <w:r>
        <w:rPr>
          <w:sz w:val="24"/>
          <w:szCs w:val="24"/>
        </w:rPr>
      </w:r>
      <w:bookmarkEnd w:id="253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предусмотренном действующим законодательством и </w:t>
      </w:r>
      <w:hyperlink r:id="rId32" w:tooltip="https://zakupki.gov.ru/epz/orderclause/card/common-info.html?orderClauseInfoId=967865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Положением о закупке Заказчика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10" w:name="_Ref119429963"/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</w:t>
      </w:r>
      <w:r>
        <w:rPr>
          <w:rFonts w:ascii="Times New Roman" w:hAnsi="Times New Roman" w:cs="Times New Roman"/>
          <w:b w:val="0"/>
          <w:bCs w:val="0"/>
        </w:rPr>
        <w:t xml:space="preserve">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</w:t>
      </w:r>
      <w:r>
        <w:rPr>
          <w:rFonts w:ascii="Times New Roman" w:hAnsi="Times New Roman" w:cs="Times New Roman"/>
          <w:b w:val="0"/>
          <w:bCs w:val="0"/>
        </w:rPr>
        <w:t xml:space="preserve">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договоров</w:t>
      </w:r>
      <w:r>
        <w:rPr>
          <w:rFonts w:ascii="Times New Roman" w:hAnsi="Times New Roman" w:cs="Times New Roman"/>
          <w:b w:val="0"/>
          <w:bCs w:val="0"/>
        </w:rPr>
        <w:t xml:space="preserve"> на поставку товаров (выполнение работ, оказание услуг) заключенных с субъектами МСП,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</w:t>
      </w:r>
      <w:r>
        <w:rPr>
          <w:rFonts w:ascii="Times New Roman" w:hAnsi="Times New Roman" w:cs="Times New Roman"/>
          <w:b w:val="0"/>
          <w:bCs w:val="0"/>
        </w:rPr>
        <w:t xml:space="preserve">та, фактора).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соответствии с </w:t>
      </w:r>
      <w:hyperlink r:id="rId33" w:tooltip="https://www.consultant.ru/document/cons_doc_LAW_494318/92d969e26a4326c5d02fa79b8f9cf4994ee5633b/" w:history="1">
        <w:r>
          <w:rPr>
            <w:rStyle w:val="1437"/>
            <w:rFonts w:ascii="Times New Roman" w:hAnsi="Times New Roman" w:cs="Times New Roman"/>
            <w:b w:val="0"/>
          </w:rPr>
          <w:t xml:space="preserve">поста</w:t>
        </w:r>
        <w:r>
          <w:rPr>
            <w:rStyle w:val="1437"/>
            <w:rFonts w:ascii="Times New Roman" w:hAnsi="Times New Roman" w:cs="Times New Roman"/>
            <w:b w:val="0"/>
          </w:rPr>
          <w:t xml:space="preserve">новлением Правительства РФ от 23.12.2024 № 1875</w:t>
        </w:r>
      </w:hyperlink>
      <w:r>
        <w:rPr>
          <w:rFonts w:ascii="Times New Roman" w:hAnsi="Times New Roman" w:cs="Times New Roman"/>
          <w:b w:val="0"/>
          <w:bCs w:val="0"/>
        </w:rPr>
        <w:t xml:space="preserve"> в пункте </w:t>
      </w:r>
      <w:hyperlink w:tooltip="#_Сведения_о_предоставлении" w:anchor="_Сведения_о_предоставлении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12 части II 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установлен запрет закупки работ, услуг, соответственно выполняемых, оказываем</w:t>
      </w:r>
      <w:r>
        <w:rPr>
          <w:rFonts w:ascii="Times New Roman" w:hAnsi="Times New Roman" w:cs="Times New Roman"/>
          <w:b w:val="0"/>
          <w:bCs w:val="0"/>
        </w:rPr>
        <w:t xml:space="preserve">ых иностранным лицом, то не допускается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</w:t>
      </w:r>
      <w:r>
        <w:rPr>
          <w:rFonts w:ascii="Times New Roman" w:hAnsi="Times New Roman" w:cs="Times New Roman"/>
          <w:b w:val="0"/>
          <w:bCs w:val="0"/>
        </w:rPr>
        <w:t xml:space="preserve">о государства, в отношении которого установлен данный запрет.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соответствии с </w:t>
      </w:r>
      <w:hyperlink r:id="rId34" w:tooltip="https://www.consultant.ru/document/cons_doc_LAW_494318/92d969e26a4326c5d02fa79b8f9cf4994ee5633b/" w:history="1">
        <w:r>
          <w:rPr>
            <w:rStyle w:val="1437"/>
            <w:rFonts w:ascii="Times New Roman" w:hAnsi="Times New Roman" w:cs="Times New Roman"/>
            <w:b w:val="0"/>
          </w:rPr>
          <w:t xml:space="preserve">постановлением Правительства РФ от 23.12.2024 № 1875</w:t>
        </w:r>
      </w:hyperlink>
      <w:r>
        <w:rPr>
          <w:rFonts w:ascii="Times New Roman" w:hAnsi="Times New Roman" w:cs="Times New Roman"/>
          <w:b w:val="0"/>
          <w:bCs w:val="0"/>
        </w:rPr>
        <w:t xml:space="preserve"> в пункте </w:t>
      </w:r>
      <w:hyperlink w:tooltip="#_Сведения_о_предоставлении" w:anchor="_Сведения_о_предоставлении" w:history="1">
        <w:r>
          <w:rPr>
            <w:rStyle w:val="1437"/>
            <w:rFonts w:ascii="Times New Roman" w:hAnsi="Times New Roman" w:cs="Times New Roman"/>
            <w:b w:val="0"/>
            <w:bCs w:val="0"/>
          </w:rPr>
          <w:t xml:space="preserve">12 части II 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установлено ограничение закуп</w:t>
      </w:r>
      <w:r>
        <w:rPr>
          <w:rFonts w:ascii="Times New Roman" w:hAnsi="Times New Roman" w:cs="Times New Roman"/>
          <w:b w:val="0"/>
          <w:bCs w:val="0"/>
        </w:rPr>
        <w:t xml:space="preserve">ки работ, услуг, соответственно выполняемых, оказываемых иностранным лицом, то не допускается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</w:t>
      </w:r>
      <w:r>
        <w:rPr>
          <w:rFonts w:ascii="Times New Roman" w:hAnsi="Times New Roman" w:cs="Times New Roman"/>
          <w:b w:val="0"/>
          <w:bCs w:val="0"/>
        </w:rPr>
        <w:t xml:space="preserve">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bookmarkEnd w:id="11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</w:t>
      </w:r>
      <w:r>
        <w:rPr>
          <w:rFonts w:ascii="Times New Roman" w:hAnsi="Times New Roman" w:cs="Times New Roman"/>
          <w:b w:val="0"/>
          <w:bCs w:val="0"/>
        </w:rPr>
        <w:t xml:space="preserve">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54" w:name="_Toc44"/>
      <w:r>
        <w:rPr>
          <w:sz w:val="24"/>
          <w:szCs w:val="24"/>
        </w:rPr>
        <w:t xml:space="preserve">Закупка продукции с разбиением заказа на лоты</w:t>
      </w:r>
      <w:r>
        <w:rPr>
          <w:sz w:val="24"/>
          <w:szCs w:val="24"/>
        </w:rPr>
      </w:r>
      <w:bookmarkEnd w:id="254"/>
      <w:r/>
      <w:r>
        <w:rPr>
          <w:sz w:val="24"/>
          <w:szCs w:val="24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может подать Заявку на любой лот (закупку), любые несколько лотов или все лоты по собственному выбору. Разбиение на лоты установлен</w:t>
      </w:r>
      <w:r>
        <w:rPr>
          <w:rFonts w:ascii="Times New Roman" w:hAnsi="Times New Roman" w:cs="Times New Roman"/>
          <w:b w:val="0"/>
        </w:rPr>
        <w:t xml:space="preserve">о пункте </w:t>
      </w:r>
      <w:hyperlink w:tooltip="#_Предмет_до" w:anchor="_Предмет_до" w:history="1">
        <w:r>
          <w:rPr>
            <w:rStyle w:val="1437"/>
            <w:rFonts w:ascii="Times New Roman" w:hAnsi="Times New Roman" w:cs="Times New Roman"/>
            <w:b w:val="0"/>
          </w:rPr>
          <w:t xml:space="preserve">3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 и части </w:t>
      </w:r>
      <w:hyperlink w:tooltip="#_V._ТЕХНИЧЕ" w:anchor="_V._ТЕХНИЧЕ" w:history="1">
        <w:r>
          <w:rPr>
            <w:rStyle w:val="1437"/>
            <w:rFonts w:ascii="Times New Roman" w:hAnsi="Times New Roman" w:cs="Times New Roman"/>
            <w:b w:val="0"/>
          </w:rPr>
          <w:t xml:space="preserve">IV «ТЕХНИЧЕСКАЯ ЧАСТЬ»</w:t>
        </w:r>
      </w:hyperlink>
      <w:r>
        <w:rPr>
          <w:rFonts w:ascii="Times New Roman" w:hAnsi="Times New Roman" w:cs="Times New Roman"/>
          <w:b w:val="0"/>
        </w:rPr>
        <w:t xml:space="preserve">. При этом не допускается разбиение отдельного лота на части, то есть подача </w:t>
      </w:r>
      <w:r>
        <w:rPr>
          <w:rFonts w:ascii="Times New Roman" w:hAnsi="Times New Roman" w:cs="Times New Roman"/>
          <w:b w:val="0"/>
        </w:rPr>
        <w:t xml:space="preserve">заявки на часть лота по отдельным его позициям или на часть объема лота.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подачи Заявки на несколько лотов, Участник должен отдельно по каждому лоту включить в состав заявки документы и сведения, указанные в пункте </w:t>
      </w:r>
      <w:hyperlink w:tooltip="#_Сведения_и" w:anchor="_Сведения_и" w:history="1">
        <w:r>
          <w:rPr>
            <w:rStyle w:val="1437"/>
            <w:rFonts w:ascii="Times New Roman" w:hAnsi="Times New Roman" w:cs="Times New Roman"/>
            <w:b w:val="0"/>
          </w:rPr>
          <w:t xml:space="preserve">17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19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</w:rPr>
        <w:t xml:space="preserve">Рассмотрение общих частей заявок и ценовых предложений, определение Победителя закупки и подписание Договора будет осуществляться раздельно и независимо по каждому из лотов. По каждому из лотов бу</w:t>
      </w:r>
      <w:r>
        <w:rPr>
          <w:rFonts w:ascii="Times New Roman" w:hAnsi="Times New Roman" w:cs="Times New Roman"/>
          <w:b w:val="0"/>
        </w:rPr>
        <w:t xml:space="preserve">дет определен Победитель закупки с каждым из которых будет заключен отдельный Договор.</w:t>
      </w:r>
      <w:r>
        <w:br w:type="page" w:clear="all"/>
      </w:r>
      <w:r/>
    </w:p>
    <w:p>
      <w:pPr>
        <w:pStyle w:val="1217"/>
        <w:numPr>
          <w:ilvl w:val="0"/>
          <w:numId w:val="4"/>
        </w:numPr>
        <w:ind w:left="0" w:firstLine="567"/>
        <w:spacing w:before="0" w:after="0"/>
        <w:rPr>
          <w:rStyle w:val="1388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255" w:name="_Toc45"/>
      <w:r/>
      <w:bookmarkStart w:id="112" w:name="_II._ИНФОРМ"/>
      <w:r/>
      <w:bookmarkStart w:id="113" w:name="_РАЗДЕЛ_I_3_ИНФОРМАЦИОННАЯ_КАРТА_КОН"/>
      <w:r/>
      <w:bookmarkStart w:id="114" w:name="_ИНФОРМАЦИОННАЯ_КАРТА_ЗАКУПКИ"/>
      <w:r/>
      <w:bookmarkStart w:id="115" w:name="_Ref119427269"/>
      <w:r/>
      <w:bookmarkEnd w:id="112"/>
      <w:r/>
      <w:bookmarkEnd w:id="113"/>
      <w:r/>
      <w:bookmarkEnd w:id="114"/>
      <w:r>
        <w:rPr>
          <w:rStyle w:val="1388"/>
          <w:rFonts w:ascii="Times New Roman" w:hAnsi="Times New Roman" w:cs="Times New Roman"/>
          <w:color w:val="auto"/>
          <w:sz w:val="28"/>
          <w:szCs w:val="28"/>
        </w:rPr>
        <w:t xml:space="preserve">ИНФОРМАЦИОННАЯ КАРТА </w:t>
      </w:r>
      <w:bookmarkEnd w:id="115"/>
      <w:r>
        <w:rPr>
          <w:rStyle w:val="1388"/>
          <w:rFonts w:ascii="Times New Roman" w:hAnsi="Times New Roman" w:cs="Times New Roman"/>
          <w:color w:val="auto"/>
          <w:sz w:val="28"/>
          <w:szCs w:val="28"/>
        </w:rPr>
        <w:t xml:space="preserve">ЗАКУПКИ</w:t>
      </w:r>
      <w:r>
        <w:rPr>
          <w:rStyle w:val="1388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bookmarkEnd w:id="255"/>
      <w:r/>
      <w:r>
        <w:rPr>
          <w:rStyle w:val="1388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данной конкретной закупки, которая уточняет, разъясняет и дополня</w:t>
      </w:r>
      <w:r>
        <w:t xml:space="preserve">ет положения части </w:t>
      </w:r>
      <w:hyperlink w:tooltip="#_ОБЩИЕ_ПОЛОЖЕНИЯ" w:anchor="_ОБЩИЕ_ПОЛОЖЕНИЯ" w:history="1">
        <w:r>
          <w:rPr>
            <w:rStyle w:val="1437"/>
          </w:rPr>
          <w:t xml:space="preserve">«ОБЩИЕ УСЛОВИЯ ПРОВЕДЕНИЯ ЗАКУПКИ»</w:t>
        </w:r>
      </w:hyperlink>
      <w:r>
        <w:t xml:space="preserve">. </w:t>
      </w:r>
      <w:r/>
    </w:p>
    <w:p>
      <w:pPr>
        <w:ind w:firstLine="567"/>
        <w:tabs>
          <w:tab w:val="left" w:pos="567" w:leader="none"/>
        </w:tabs>
      </w:pPr>
      <w:r>
        <w:t xml:space="preserve">При возникновении противоречия между положениями части </w:t>
      </w:r>
      <w:hyperlink w:tooltip="#_ОБЩИЕ_УСЛОВИЯ_ПРОВЕДЕНИЯ" w:anchor="_I._ОБЩИЕ_У" w:history="1">
        <w:r>
          <w:rPr>
            <w:rStyle w:val="1437"/>
          </w:rPr>
          <w:t xml:space="preserve">I «ОБЩИЕ УСЛОВИЯ ПРОВЕД</w:t>
        </w:r>
        <w:r>
          <w:rPr>
            <w:rStyle w:val="1437"/>
          </w:rPr>
          <w:t xml:space="preserve">ЕНИЯ ЗАКУПКИ»</w:t>
        </w:r>
      </w:hyperlink>
      <w:r>
        <w:t xml:space="preserve"> и части </w:t>
      </w:r>
      <w:hyperlink w:tooltip="#_ИНФОРМАЦИОННАЯ_КАРТА_ЗАКУПКИ" w:anchor="_II._ИНФОРМ" w:history="1">
        <w:r>
          <w:rPr>
            <w:rStyle w:val="1437"/>
          </w:rPr>
          <w:t xml:space="preserve">II «ИНФОРМАЦИОННАЯ КАРТА ЗАКУПКИ»</w:t>
        </w:r>
      </w:hyperlink>
      <w:r>
        <w:t xml:space="preserve">, применяются положения Части II.</w:t>
      </w:r>
      <w:r/>
    </w:p>
    <w:tbl>
      <w:tblPr>
        <w:tblW w:w="9354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5135"/>
      </w:tblGrid>
      <w:tr>
        <w:tblPrEx/>
        <w:trPr/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</w:rPr>
            </w:pPr>
            <w:r>
              <w:rPr>
                <w:b/>
              </w:rPr>
              <w:t xml:space="preserve">№ 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vAlign w:val="center"/>
            <w:textDirection w:val="lrTb"/>
            <w:noWrap w:val="false"/>
          </w:tcPr>
          <w:p>
            <w:pPr>
              <w:ind w:hanging="13"/>
              <w:jc w:val="center"/>
              <w:spacing w:after="0"/>
              <w:tabs>
                <w:tab w:val="num" w:pos="630" w:leader="none"/>
              </w:tabs>
              <w:rPr>
                <w:b/>
              </w:rPr>
            </w:pPr>
            <w:r>
              <w:rPr>
                <w:b/>
              </w:rPr>
              <w:t xml:space="preserve">Наименование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</w:rPr>
            </w:pPr>
            <w:r>
              <w:rPr>
                <w:b/>
              </w:rPr>
              <w:t xml:space="preserve">Информация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ind w:hanging="13"/>
              <w:spacing w:line="256" w:lineRule="auto"/>
              <w:tabs>
                <w:tab w:val="num" w:pos="205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Способ закупки, номер позиции Плана закупки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 w:line="256" w:lineRule="auto"/>
              <w:rPr>
                <w:lang w:eastAsia="en-US"/>
              </w:rPr>
            </w:pPr>
            <w:r/>
            <w:bookmarkStart w:id="117" w:name="Par50"/>
            <w:r>
              <w:rPr>
                <w:lang w:eastAsia="en-US"/>
              </w:rPr>
              <w:t xml:space="preserve">Конкурс в электронной форме.</w:t>
            </w:r>
            <w:bookmarkEnd w:id="117"/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 w:line="256" w:lineRule="auto"/>
              <w:shd w:val="clear" w:color="ddebf6" w:themeColor="accent1" w:themeTint="33" w:fill="ddebf6" w:themeFill="accent1" w:themeFillTint="33"/>
              <w:rPr>
                <w:highlight w:val="yellow"/>
              </w:rPr>
            </w:pPr>
            <w:r>
              <w:rPr>
                <w:lang w:eastAsia="en-US"/>
              </w:rPr>
              <w:t xml:space="preserve">Номер позиции Плана закупки: </w:t>
            </w:r>
            <w:r>
              <w:rPr>
                <w:lang w:eastAsia="en-US"/>
              </w:rPr>
              <w:t xml:space="preserve">350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18" w:name="_Наименование,_место_нахождения,"/>
            <w:r/>
            <w:bookmarkEnd w:id="118"/>
            <w:r>
              <w:rPr>
                <w:rFonts w:ascii="Times New Roman" w:hAnsi="Times New Roman" w:cs="Times New Roman"/>
                <w:b w:val="0"/>
                <w:bCs w:val="0"/>
              </w:rPr>
              <w:t xml:space="preserve">Наименование, место нахождения, почтовый адрес, адрес электронной почты, номер контактного телефона Заказчика и стороннего Организатора закупки (в случае его привлечения), ответственный за заключение договора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Наименование Заказчика: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</w:pPr>
            <w:r>
              <w:t xml:space="preserve">АО «Россети Янтарь»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Ад</w:t>
            </w:r>
            <w:r>
              <w:rPr>
                <w:b/>
              </w:rPr>
              <w:t xml:space="preserve">рес местонахождения Заказчика: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</w:pPr>
            <w:r>
              <w:t xml:space="preserve">236022, г. Калининград, ул. Театральная, д. 34, кабинет 214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Почтовый адрес Заказчика: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</w:pPr>
            <w:r>
              <w:t xml:space="preserve">236035, Абонентский ящик № 5065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Контактное лицо: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shd w:val="clear" w:color="deeaf6" w:themeColor="accent1" w:themeTint="33" w:fill="deeaf6" w:themeFill="accent1" w:themeFillTint="33"/>
              <w:rPr>
                <w:rFonts w:ascii="Times New Roman" w:hAnsi="Times New Roman" w:cs="Times New Roman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Ман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дель Светлана Владиславовна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hd w:val="clear" w:color="deeaf6" w:themeColor="accent1" w:themeTint="33" w:fill="deeaf6" w:themeFill="accent1" w:themeFillTint="33"/>
              <w:rPr>
                <w:rFonts w:ascii="Times New Roman" w:hAnsi="Times New Roman" w:cs="Times New Roman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highlight w:val="none"/>
              </w:rPr>
              <w:t xml:space="preserve">Моб.: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+7 (921) 972-09-96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hd w:val="clear" w:color="deeaf6" w:themeColor="accent1" w:themeTint="33" w:fill="deeaf6" w:themeFill="accent1" w:themeFillTint="33"/>
              <w:rPr>
                <w:rFonts w:ascii="Times New Roman" w:hAnsi="Times New Roman" w:cs="Times New Roman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highlight w:val="none"/>
              </w:rPr>
              <w:t xml:space="preserve">e-mail: </w:t>
            </w:r>
            <w:hyperlink r:id="rId35" w:tooltip="Click to mail Мандель Светлана Владиславовна &lt;Mandel-SV@Rosseti-Yantar.Ru&gt;" w:history="1">
              <w:r>
                <w:rPr>
                  <w:rStyle w:val="1437"/>
                  <w:rFonts w:ascii="Times New Roman" w:hAnsi="Times New Roman" w:eastAsia="Times New Roman" w:cs="Times New Roman"/>
                  <w:color w:val="0000ee"/>
                  <w:sz w:val="24"/>
                  <w:szCs w:val="24"/>
                  <w:highlight w:val="none"/>
                </w:rPr>
                <w:t xml:space="preserve">Mandel-SV@Rosseti-Yantar.Ru</w:t>
              </w:r>
            </w:hyperlink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b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Ответственный за заключение договора: </w:t>
            </w:r>
            <w:r>
              <w:rPr>
                <w:rFonts w:ascii="Times New Roman" w:hAnsi="Times New Roman" w:cs="Times New Roman"/>
                <w:b/>
                <w:highlight w:val="none"/>
              </w:rPr>
            </w:r>
            <w:r>
              <w:rPr>
                <w:rFonts w:ascii="Times New Roman" w:hAnsi="Times New Roman" w:cs="Times New Roman"/>
                <w:b/>
                <w:highlight w:val="none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b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  <w:shd w:val="clear" w:color="ddebf6" w:themeColor="accent1" w:themeTint="33" w:fill="ddebf6" w:themeFill="accent1" w:themeFillTint="33"/>
              </w:rPr>
              <w:t xml:space="preserve">Арефьева Марина Александровна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highlight w:val="none"/>
              </w:rPr>
            </w:r>
            <w:r>
              <w:rPr>
                <w:rFonts w:ascii="Times New Roman" w:hAnsi="Times New Roman" w:cs="Times New Roman"/>
                <w:b/>
                <w:highlight w:val="none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Тел: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  <w:shd w:val="clear" w:color="ddebf6" w:themeColor="accent1" w:themeTint="33" w:fill="ddebf6" w:themeFill="accent1" w:themeFillTint="33"/>
              </w:rPr>
              <w:t xml:space="preserve">8(4012)57-07-02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  <w:p>
            <w:pPr>
              <w:jc w:val="both"/>
              <w:spacing w:after="0"/>
              <w:shd w:val="clear" w:color="ddebf6" w:themeColor="accent1" w:themeTint="33" w:fill="ddebf6" w:themeFill="accent1" w:themeFillTint="33"/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en-US"/>
              </w:rPr>
              <w:t xml:space="preserve">e-mail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Arefeva-MA@Rosseti-Yantar.Ru</w:t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19" w:name="_Предмет_до"/>
            <w:r/>
            <w:bookmarkStart w:id="120" w:name="_Предмет_договора_с"/>
            <w:r/>
            <w:bookmarkEnd w:id="119"/>
            <w:r/>
            <w:bookmarkEnd w:id="120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Предмет договора с указанием количества поставляемого товара/ объема выполняемой работы/ объема оказываемой услуги, а также краткое описание предмета закупки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shd w:val="clear" w:color="ddebf6" w:themeColor="accent1" w:themeTint="33" w:fill="ddebf6" w:themeFill="accent1" w:themeFillTint="33"/>
              <w:rPr>
                <w:highlight w:val="none"/>
              </w:rPr>
            </w:pPr>
            <w:r>
              <w:rPr>
                <w:b/>
              </w:rPr>
              <w:t xml:space="preserve">Предмет </w:t>
            </w:r>
            <w:r>
              <w:rPr>
                <w:b/>
                <w:highlight w:val="none"/>
              </w:rPr>
              <w:t xml:space="preserve">договора:</w:t>
            </w:r>
            <w:r>
              <w:rPr>
                <w:b/>
                <w:highlight w:val="none"/>
              </w:rPr>
              <w:t xml:space="preserve"> </w:t>
            </w:r>
            <w:r>
              <w:rPr>
                <w:highlight w:val="none"/>
                <w:lang w:eastAsia="en-US"/>
              </w:rPr>
              <w:t xml:space="preserve">Выполнение работ, направленных на исполнение обязательств по объектам технологического присоединения к электрическим сетям  АО «Россети Янтарь» (Лот № 2.2.16р)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r>
              <w:t xml:space="preserve">Количество поставляемого товара/объем выполняемой рабо</w:t>
            </w:r>
            <w:r>
              <w:t xml:space="preserve">ты/объем оказываемой услуги и описание предмета закупки в соответствии с частью 6.1 статьи 3 Закона 223-ФЗ установлено в части </w:t>
            </w:r>
            <w:hyperlink w:tooltip="#_V._ТЕХНИЧЕ" w:anchor="_ТЕХНИЧЕСКАЯ_ЧАСТЬ" w:history="1">
              <w:r>
                <w:rPr>
                  <w:rStyle w:val="1437"/>
                </w:rPr>
                <w:t xml:space="preserve">V «ТЕХНИЧЕСКАЯ ЧАСТЬ»</w:t>
              </w:r>
            </w:hyperlink>
            <w:r>
              <w:t xml:space="preserve"> документации о закупке. Все указания в настоящей до</w:t>
            </w:r>
            <w:r>
              <w:t xml:space="preserve">кументации на товарные знаки, знаки обслуживания, фирменные наименования, патенты, полезные модели, промышленные образцы, наименование страны происхождения товара читать со словами «или эквивалент».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1" w:name="_Место_поставки_товара/"/>
            <w:r/>
            <w:bookmarkEnd w:id="121"/>
            <w:r>
              <w:rPr>
                <w:rFonts w:ascii="Times New Roman" w:hAnsi="Times New Roman" w:cs="Times New Roman"/>
                <w:b w:val="0"/>
                <w:bCs w:val="0"/>
              </w:rPr>
              <w:t xml:space="preserve">Место поставки товара/ выполнения работы/ оказания услу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ги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highlight w:val="yellow"/>
              </w:rPr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1437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1437"/>
                </w:rPr>
                <w:t xml:space="preserve">V «ТЕХНИЧЕСКАЯ ЧАСТЬ»</w:t>
              </w:r>
            </w:hyperlink>
            <w:r>
              <w:t xml:space="preserve"> настоящей документации о закупке.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2" w:name="_Сроки_поставки_товара/"/>
            <w:r/>
            <w:bookmarkEnd w:id="122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Сроки поставки товара/ выполнения работ/оказания услуг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1437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1437"/>
                </w:rPr>
                <w:t xml:space="preserve">V «ТЕХНИЧЕСКАЯ ЧАСТЬ»</w:t>
              </w:r>
            </w:hyperlink>
            <w:r>
              <w:t xml:space="preserve"> настоящей документации о за</w:t>
            </w:r>
            <w:r>
              <w:t xml:space="preserve">купке.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3" w:name="_Форма,_сроки_и"/>
            <w:r/>
            <w:bookmarkEnd w:id="123"/>
            <w:r>
              <w:rPr>
                <w:rFonts w:ascii="Times New Roman" w:hAnsi="Times New Roman" w:cs="Times New Roman"/>
                <w:b w:val="0"/>
                <w:bCs w:val="0"/>
              </w:rPr>
              <w:t xml:space="preserve">Форма, сроки и порядок оплаты товара, работы, услуги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hyperlink w:tooltip="#_IV._ПРОЕКТ" w:anchor="_IV._ПРОЕКТ" w:history="1">
              <w:r>
                <w:rPr>
                  <w:rStyle w:val="1437"/>
                </w:rPr>
                <w:t xml:space="preserve">IV «ПРОЕКТ </w:t>
              </w:r>
              <w:r>
                <w:rPr>
                  <w:rStyle w:val="1437"/>
                </w:rPr>
                <w:t xml:space="preserve">ДОГОВОРА»</w:t>
              </w:r>
            </w:hyperlink>
            <w:r>
              <w:t xml:space="preserve"> настоящей документации о закупке.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4" w:name="_Сведения_о"/>
            <w:r/>
            <w:bookmarkStart w:id="125" w:name="_Сведения_о_начальной"/>
            <w:r/>
            <w:bookmarkEnd w:id="124"/>
            <w:r/>
            <w:bookmarkEnd w:id="125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о нача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льной (максимальной) цене договора (цене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товара, работы, услуги и максимальное значение цены договора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before="60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hyperlink w:tooltip="#_ОБОСНОВАНИЕ_НМЦ" w:anchor="_ОБОСНОВАНИЕ_НМЦ" w:history="1">
              <w:r>
                <w:rPr>
                  <w:rStyle w:val="1437"/>
                </w:rPr>
                <w:t xml:space="preserve">VI «ОБОСНОВАНИЕ НАЧАЛЬНОЙ (МАКСИМАЛЬНОЙ» ЦЕНЫ ДОГОВОРА»</w:t>
              </w:r>
            </w:hyperlink>
            <w:r>
              <w:t xml:space="preserve"> настоящей документации.</w:t>
            </w:r>
            <w:r/>
          </w:p>
          <w:p>
            <w:pPr>
              <w:spacing w:before="60"/>
              <w:tabs>
                <w:tab w:val="left" w:pos="708" w:leader="none"/>
              </w:tabs>
            </w:pPr>
            <w:r/>
            <w:r/>
          </w:p>
          <w:p>
            <w:pPr>
              <w:shd w:val="clear" w:color="ddebf6" w:themeColor="accent1" w:themeTint="33" w:fill="ddebf6" w:themeFill="accent1" w:themeFillTint="33"/>
            </w:pPr>
            <w:r>
              <w:rPr>
                <w:b/>
                <w:bCs/>
              </w:rPr>
              <w:t xml:space="preserve">Начальная (максимальная) цена договора (цена лота) составляет</w:t>
            </w:r>
            <w:r>
              <w:t xml:space="preserve">: </w:t>
            </w:r>
            <w:r>
              <w:t xml:space="preserve">50 000 000,00 </w:t>
            </w:r>
            <w:r>
              <w:rPr>
                <w:bCs/>
                <w:lang w:eastAsia="ar-SA"/>
              </w:rPr>
              <w:t xml:space="preserve">рублей без НДС / </w:t>
            </w:r>
            <w:r>
              <w:t xml:space="preserve">61 000 000,00 </w:t>
            </w:r>
            <w:r>
              <w:rPr>
                <w:bCs/>
                <w:lang w:eastAsia="ar-SA"/>
              </w:rPr>
              <w:t xml:space="preserve">рублей с НДС</w:t>
            </w:r>
            <w:r>
              <w:t xml:space="preserve">.</w:t>
            </w:r>
            <w:r/>
          </w:p>
          <w:p>
            <w:pPr>
              <w:spacing w:before="60" w:after="0"/>
              <w:tabs>
                <w:tab w:val="left" w:pos="708" w:leader="none"/>
              </w:tabs>
            </w:pPr>
            <w:r/>
            <w:r/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Предварительная цена работ, подлежащих выполнению по конкретной Заявке Заказчика, определяется на</w:t>
            </w:r>
            <w:r>
              <w:rPr>
                <w:shd w:val="clear" w:color="auto" w:fill="ffffff" w:themeFill="background1"/>
              </w:rPr>
              <w:t xml:space="preserve"> основании расчетов стоимости работ с применением </w:t>
            </w:r>
            <w:r>
              <w:rPr>
                <w:b/>
                <w:shd w:val="clear" w:color="auto" w:fill="ffffff" w:themeFill="background1"/>
              </w:rPr>
              <w:t xml:space="preserve">коэффициента тендерного снижения</w:t>
            </w:r>
            <w:r>
              <w:rPr>
                <w:shd w:val="clear" w:color="auto" w:fill="ffffff" w:themeFill="background1"/>
              </w:rPr>
              <w:t xml:space="preserve"> к стоимости. 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</w:pPr>
            <w:r/>
            <w:r/>
          </w:p>
          <w:p>
            <w:pPr>
              <w:spacing w:after="0"/>
              <w:tabs>
                <w:tab w:val="left" w:pos="708" w:leader="none"/>
              </w:tabs>
              <w:rPr>
                <w:b/>
                <w:bCs/>
                <w:color w:val="ff0000"/>
                <w:u w:val="single"/>
                <w:lang w:eastAsia="ar-SA"/>
              </w:rPr>
            </w:pPr>
            <w:r>
              <w:rPr>
                <w:b/>
                <w:bCs/>
                <w:color w:val="ff0000"/>
                <w:u w:val="single"/>
              </w:rPr>
              <w:t xml:space="preserve">При </w:t>
            </w:r>
            <w:r>
              <w:rPr>
                <w:b/>
                <w:color w:val="ff0000"/>
                <w:u w:val="single"/>
              </w:rPr>
              <w:t xml:space="preserve">подаче заявок предложение о цене договора должно соответствовать начальной (максимальной) цене рамочного договора. Заявки оцениваются исходя из коэффициен</w:t>
            </w:r>
            <w:r>
              <w:rPr>
                <w:b/>
                <w:color w:val="ff0000"/>
                <w:u w:val="single"/>
              </w:rPr>
              <w:t xml:space="preserve">та тендерного снижения, в соответствии с Приложением 1 части II «ИНФОРМАЦИОННАЯ КАРТА ЗАКУПКИ» Документации о закупке.</w:t>
            </w:r>
            <w:r>
              <w:rPr>
                <w:b/>
                <w:bCs/>
                <w:color w:val="ff0000"/>
                <w:u w:val="single"/>
                <w:lang w:eastAsia="ar-SA"/>
              </w:rPr>
            </w:r>
            <w:r>
              <w:rPr>
                <w:b/>
                <w:bCs/>
                <w:color w:val="ff0000"/>
                <w:u w:val="single"/>
                <w:lang w:eastAsia="ar-SA"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  <w:rPr>
                <w:b/>
                <w:color w:val="0000cc"/>
              </w:rPr>
            </w:pPr>
            <w:r>
              <w:rPr>
                <w:b/>
                <w:iCs/>
                <w:color w:val="0000cc"/>
              </w:rPr>
              <w:t xml:space="preserve">Участники на ЭТП указывают предложение о коэффициенте тендерного снижения («Предложение о коэффициенте понижения цены») </w:t>
            </w:r>
            <w:r>
              <w:rPr>
                <w:b/>
                <w:color w:val="0000cc"/>
              </w:rPr>
              <w:t xml:space="preserve">выраженный в вид</w:t>
            </w:r>
            <w:r>
              <w:rPr>
                <w:b/>
                <w:color w:val="0000cc"/>
              </w:rPr>
              <w:t xml:space="preserve">е десятичной дроби</w:t>
            </w:r>
            <w:r>
              <w:rPr>
                <w:b/>
                <w:iCs/>
                <w:color w:val="0000cc"/>
              </w:rPr>
              <w:t xml:space="preserve"> </w:t>
            </w:r>
            <w:r>
              <w:rPr>
                <w:b/>
                <w:color w:val="0000cc"/>
              </w:rPr>
              <w:t xml:space="preserve">от 0 до 1 с порядком: 0,0000. </w:t>
            </w:r>
            <w:r>
              <w:rPr>
                <w:b/>
                <w:color w:val="0000cc"/>
              </w:rPr>
            </w:r>
            <w:r>
              <w:rPr>
                <w:b/>
                <w:color w:val="0000cc"/>
              </w:rPr>
            </w:r>
          </w:p>
          <w:p>
            <w:pPr>
              <w:spacing w:after="0"/>
            </w:pPr>
            <w:r>
              <w:rPr>
                <w:b/>
                <w:color w:val="0000cc"/>
              </w:rPr>
              <w:t xml:space="preserve">При вводе понижающего коэффициента, участнику подсвечивается коэффициент снижения.</w:t>
            </w:r>
            <w:r/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Окончательная цена работ определяется утвержденной Заказчиком по каждой Заявке сметной документацией в соответствии с видо</w:t>
            </w:r>
            <w:r>
              <w:rPr>
                <w:shd w:val="clear" w:color="auto" w:fill="ffffff" w:themeFill="background1"/>
              </w:rPr>
              <w:t xml:space="preserve">м и объемом работ, но не более цены Заявки, установленной расчетом стоимости работ, по указанным в Заявке видам работ, подлежащих выполнению по конкретной Заявке. 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Указанная в Договоре стоимость работ является предельной.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Предварительная цена Заявки включа</w:t>
            </w:r>
            <w:r>
              <w:rPr>
                <w:shd w:val="clear" w:color="auto" w:fill="ffffff" w:themeFill="background1"/>
              </w:rPr>
              <w:t xml:space="preserve">ет в себя стоимость всех работ, предусмотренных Техническим заданием. Окончательная цена Заявки включает в себя стоимость всех работ, предусмотренных разработанной и </w:t>
            </w:r>
            <w:r>
              <w:rPr>
                <w:shd w:val="clear" w:color="auto" w:fill="ffffff" w:themeFill="background1"/>
              </w:rPr>
              <w:t xml:space="preserve">утвержденной проектно-сметной документацией.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  <w:shd w:val="clear" w:color="auto" w:fill="ffffff" w:themeFill="background1"/>
              </w:rPr>
              <w:t xml:space="preserve">Начальная (максимальная) цена рамочного дого</w:t>
            </w:r>
            <w:r>
              <w:rPr>
                <w:rFonts w:eastAsia="Calibri"/>
                <w:shd w:val="clear" w:color="auto" w:fill="ffffff" w:themeFill="background1"/>
              </w:rPr>
              <w:t xml:space="preserve">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</w:t>
            </w:r>
            <w:r>
              <w:rPr>
                <w:rFonts w:eastAsia="Calibri"/>
                <w:shd w:val="clear" w:color="auto" w:fill="ffffff" w:themeFill="background1"/>
              </w:rPr>
              <w:t xml:space="preserve">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Срок, место и порядок предоставления документации о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закупке в форме электронного документа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219"/>
              <w:ind w:left="0"/>
              <w:keepNext w:val="0"/>
              <w:spacing w:before="0" w:after="0"/>
              <w:tabs>
                <w:tab w:val="clear" w:pos="312" w:leader="none"/>
                <w:tab w:val="left" w:pos="708" w:leader="none"/>
              </w:tabs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Документация о закупк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е в полном объеме в электронном виде безвозмездно доступна для ознакомления на официальном сайте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Единой информационной системы в сфере закупок (далее ЕИС) (</w:t>
            </w:r>
            <w:hyperlink r:id="rId36" w:tooltip="file:///C:\Users\Алина\Downloads\www.zakupki.gov.ru" w:history="1">
              <w:r>
                <w:rPr>
                  <w:rFonts w:ascii="Times New Roman" w:hAnsi="Times New Roman" w:cs="Times New Roman"/>
                  <w:b w:val="0"/>
                  <w:bCs w:val="0"/>
                  <w:color w:val="0000ff"/>
                  <w:u w:val="single"/>
                </w:rPr>
                <w:t xml:space="preserve">www.zakupki.gov.ru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u w:val="single"/>
              </w:rPr>
              <w:t xml:space="preserve">)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, а также на сайте электронной торговой площадки (далее – ЭТП), указанной в пункте </w:t>
            </w:r>
            <w:hyperlink w:tooltip="#_Адрес_электронной_площадки" w:anchor="_Адрес_элек" w:history="1">
              <w:r>
                <w:rPr>
                  <w:rStyle w:val="1437"/>
                  <w:rFonts w:ascii="Times New Roman" w:hAnsi="Times New Roman" w:cs="Times New Roman"/>
                  <w:b w:val="0"/>
                  <w:bCs w:val="0"/>
                </w:rPr>
                <w:t xml:space="preserve">10 части II «ИНФОРМАЦИОННАЯ КАРТА ЗАКУПКИ»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. Срок начала 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предоставления документации о закупке с момента публикации извещения.</w:t>
            </w:r>
            <w:r>
              <w:rPr>
                <w:rFonts w:ascii="Times New Roman" w:hAnsi="Times New Roman" w:cs="Times New Roman"/>
                <w:b w:val="0"/>
                <w:lang w:eastAsia="en-US"/>
              </w:rPr>
            </w:r>
            <w:r>
              <w:rPr>
                <w:rFonts w:ascii="Times New Roman" w:hAnsi="Times New Roman" w:cs="Times New Roman"/>
                <w:b w:val="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26" w:name="_Порядок,_д"/>
            <w:r/>
            <w:bookmarkStart w:id="127" w:name="_Порядок,_дата_начала,"/>
            <w:r/>
            <w:bookmarkEnd w:id="126"/>
            <w:r/>
            <w:bookmarkEnd w:id="127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  <w:p>
            <w:pPr>
              <w:pStyle w:val="12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28" w:name="_Дата_рассмотрения_предложений"/>
            <w:r/>
            <w:bookmarkEnd w:id="128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Дата рассмотрения предложен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ий участников такой закупки и подведения итогов такой закупки, Дата и время окончания срока предоставления участникам закупки разъяснений положений документации о закупке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530"/>
              <w:ind w:left="0"/>
              <w:jc w:val="both"/>
            </w:pPr>
            <w:r>
              <w:t xml:space="preserve">Применяются следующие этапы:</w:t>
            </w:r>
            <w:r/>
          </w:p>
          <w:p>
            <w:pPr>
              <w:pStyle w:val="1530"/>
              <w:numPr>
                <w:ilvl w:val="0"/>
                <w:numId w:val="16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Рассмотрение общих частей заявок</w:t>
            </w:r>
            <w:r>
              <w:t xml:space="preserve">.</w:t>
            </w:r>
            <w:r/>
          </w:p>
          <w:p>
            <w:pPr>
              <w:pStyle w:val="1530"/>
              <w:numPr>
                <w:ilvl w:val="0"/>
                <w:numId w:val="16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Переторжка</w:t>
            </w:r>
            <w:r>
              <w:t xml:space="preserve">.</w:t>
            </w:r>
            <w:r/>
          </w:p>
          <w:p>
            <w:pPr>
              <w:pStyle w:val="1530"/>
              <w:numPr>
                <w:ilvl w:val="0"/>
                <w:numId w:val="16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Подведение итогов</w:t>
            </w:r>
            <w:r>
              <w:t xml:space="preserve">.</w:t>
            </w:r>
            <w:r/>
          </w:p>
          <w:p>
            <w:pPr>
              <w:pStyle w:val="1546"/>
            </w:pPr>
            <w:r/>
            <w:r/>
          </w:p>
          <w:p>
            <w:pPr>
              <w:pStyle w:val="1546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/>
          </w:p>
          <w:p>
            <w:pPr>
              <w:pStyle w:val="1546"/>
              <w:jc w:val="both"/>
            </w:pPr>
            <w:r/>
            <w:r/>
          </w:p>
          <w:p>
            <w:pPr>
              <w:pStyle w:val="1546"/>
              <w:jc w:val="both"/>
              <w:shd w:val="clear" w:color="ddebf6" w:themeColor="accent1" w:themeTint="33" w:fill="ddebf6" w:themeFill="accent1" w:themeFillTint="33"/>
            </w:pPr>
            <w:r>
              <w:rPr>
                <w:b/>
              </w:rPr>
              <w:t xml:space="preserve">Дата начала срока подачи заявок</w:t>
            </w:r>
            <w:r>
              <w:t xml:space="preserve">: «</w:t>
            </w:r>
            <w:r>
              <w:t xml:space="preserve">05</w:t>
            </w:r>
            <w:r>
              <w:t xml:space="preserve">» </w:t>
            </w:r>
            <w:r>
              <w:t xml:space="preserve">июня </w:t>
            </w:r>
            <w:r>
              <w:t xml:space="preserve">2026 года;</w:t>
            </w:r>
            <w:r/>
          </w:p>
          <w:p>
            <w:pPr>
              <w:pStyle w:val="1546"/>
              <w:jc w:val="both"/>
            </w:pPr>
            <w:r/>
            <w:r/>
          </w:p>
          <w:p>
            <w:pPr>
              <w:pStyle w:val="1546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Дата и время окончания срока предоставления участникам закупки разъя</w:t>
            </w:r>
            <w:r>
              <w:rPr>
                <w:b/>
              </w:rPr>
              <w:t xml:space="preserve">снений положений документации о закупке: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546"/>
              <w:jc w:val="both"/>
              <w:shd w:val="clear" w:color="ddebf6" w:themeColor="accent1" w:themeTint="33" w:fill="ddebf6" w:themeFill="accent1" w:themeFillTint="33"/>
              <w:rPr>
                <w:highlight w:val="none"/>
              </w:rPr>
            </w:pPr>
            <w:r>
              <w:rPr>
                <w:highlight w:val="none"/>
              </w:rPr>
              <w:t xml:space="preserve">«</w:t>
            </w:r>
            <w:r>
              <w:rPr>
                <w:highlight w:val="none"/>
                <w:shd w:val="clear" w:color="ddebf6" w:themeColor="accent1" w:themeTint="33" w:fill="ddebf6" w:themeFill="accent1" w:themeFillTint="33"/>
              </w:rPr>
              <w:t xml:space="preserve">22</w:t>
            </w:r>
            <w:r>
              <w:rPr>
                <w:highlight w:val="none"/>
                <w:shd w:val="clear" w:color="ddebf6" w:themeColor="accent1" w:themeTint="33" w:fill="ddebf6" w:themeFill="accent1" w:themeFillTint="33"/>
              </w:rPr>
              <w:t xml:space="preserve">» </w:t>
            </w:r>
            <w:r>
              <w:rPr>
                <w:highlight w:val="none"/>
                <w:shd w:val="clear" w:color="ddebf6" w:themeColor="accent1" w:themeTint="33" w:fill="ddebf6" w:themeFill="accent1" w:themeFillTint="33"/>
              </w:rPr>
              <w:t xml:space="preserve">июня</w:t>
            </w:r>
            <w:r>
              <w:rPr>
                <w:highlight w:val="none"/>
                <w:shd w:val="clear" w:color="ddebf6" w:themeColor="accent1" w:themeTint="33" w:fill="ddebf6" w:themeFill="accent1" w:themeFillTint="33"/>
              </w:rPr>
              <w:t xml:space="preserve"> </w:t>
            </w:r>
            <w:r>
              <w:rPr>
                <w:highlight w:val="none"/>
              </w:rPr>
              <w:t xml:space="preserve">2026 года </w:t>
            </w:r>
            <w:r>
              <w:rPr>
                <w:highlight w:val="none"/>
              </w:rPr>
              <w:t xml:space="preserve">13:00</w:t>
            </w:r>
            <w:r>
              <w:rPr>
                <w:highlight w:val="none"/>
              </w:rPr>
              <w:t xml:space="preserve"> (МСК-1)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546"/>
              <w:jc w:val="both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Дата и время окончания срока, последний день срока подачи Заявок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546"/>
              <w:jc w:val="both"/>
              <w:shd w:val="clear" w:color="ddebf6" w:themeColor="accent1" w:themeTint="33" w:fill="ddebf6" w:themeFill="accent1" w:themeFillTint="33"/>
              <w:rPr>
                <w:b/>
                <w:bCs/>
                <w:color w:val="100cf2"/>
                <w:highlight w:val="none"/>
              </w:rPr>
            </w:pPr>
            <w:r>
              <w:rPr>
                <w:b/>
                <w:bCs/>
                <w:color w:val="100cf2"/>
                <w:highlight w:val="none"/>
              </w:rPr>
              <w:t xml:space="preserve">«</w:t>
            </w:r>
            <w:r>
              <w:rPr>
                <w:b/>
                <w:bCs/>
                <w:color w:val="100cf2"/>
                <w:highlight w:val="none"/>
                <w:shd w:val="clear" w:color="ddebf6" w:themeColor="accent1" w:themeTint="33" w:fill="ddebf6" w:themeFill="accent1" w:themeFillTint="33"/>
              </w:rPr>
              <w:t xml:space="preserve">22</w:t>
            </w:r>
            <w:r>
              <w:rPr>
                <w:b/>
                <w:bCs/>
                <w:color w:val="100cf2"/>
                <w:highlight w:val="none"/>
                <w:shd w:val="clear" w:color="ddebf6" w:themeColor="accent1" w:themeTint="33" w:fill="ddebf6" w:themeFill="accent1" w:themeFillTint="33"/>
              </w:rPr>
              <w:t xml:space="preserve">» </w:t>
            </w:r>
            <w:r>
              <w:rPr>
                <w:b/>
                <w:bCs/>
                <w:color w:val="100cf2"/>
                <w:highlight w:val="none"/>
                <w:shd w:val="clear" w:color="ddebf6" w:themeColor="accent1" w:themeTint="33" w:fill="ddebf6" w:themeFill="accent1" w:themeFillTint="33"/>
              </w:rPr>
              <w:t xml:space="preserve">июня</w:t>
            </w:r>
            <w:r>
              <w:rPr>
                <w:b/>
                <w:bCs/>
                <w:color w:val="100cf2"/>
                <w:highlight w:val="none"/>
              </w:rPr>
              <w:t xml:space="preserve"> </w:t>
            </w:r>
            <w:r>
              <w:rPr>
                <w:b/>
                <w:bCs/>
                <w:color w:val="100cf2"/>
                <w:highlight w:val="none"/>
              </w:rPr>
              <w:t xml:space="preserve">2026 года </w:t>
            </w:r>
            <w:r>
              <w:rPr>
                <w:b/>
                <w:bCs/>
                <w:color w:val="100cf2"/>
                <w:highlight w:val="none"/>
              </w:rPr>
              <w:t xml:space="preserve">14:00</w:t>
            </w:r>
            <w:r>
              <w:rPr>
                <w:b/>
                <w:bCs/>
                <w:color w:val="100cf2"/>
                <w:highlight w:val="none"/>
              </w:rPr>
              <w:t xml:space="preserve"> (МСК-1)</w:t>
            </w: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</w:p>
          <w:p>
            <w:pPr>
              <w:pStyle w:val="1546"/>
              <w:jc w:val="both"/>
              <w:rPr>
                <w:b/>
                <w:bCs/>
                <w:color w:val="100cf2"/>
                <w:highlight w:val="none"/>
              </w:rPr>
            </w:pP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</w:p>
          <w:p>
            <w:pPr>
              <w:pStyle w:val="1546"/>
              <w:jc w:val="both"/>
            </w:pPr>
            <w:r>
              <w:rPr>
                <w:b/>
              </w:rPr>
              <w:t xml:space="preserve">Рассмотрение общих частей заявок</w:t>
            </w:r>
            <w:r>
              <w:t xml:space="preserve">:</w:t>
            </w:r>
            <w:r/>
          </w:p>
          <w:p>
            <w:pPr>
              <w:pStyle w:val="1546"/>
              <w:jc w:val="both"/>
            </w:pPr>
            <w:r>
              <w:t xml:space="preserve">Дата начала проведения этапа: с момента с момента направления оператором ЭТП заказчику общих частей заявок</w:t>
            </w:r>
            <w:r/>
          </w:p>
          <w:p>
            <w:pPr>
              <w:pStyle w:val="1546"/>
              <w:jc w:val="both"/>
            </w:pPr>
            <w:r>
              <w:t xml:space="preserve">Дата проведения этапа: </w:t>
            </w:r>
            <w:r>
              <w:rPr>
                <w:shd w:val="clear" w:color="ddebf6" w:themeColor="accent1" w:themeTint="33" w:fill="ddebf6" w:themeFill="accent1" w:themeFillTint="33"/>
              </w:rPr>
              <w:t xml:space="preserve">«10</w:t>
            </w:r>
            <w:r>
              <w:rPr>
                <w:shd w:val="clear" w:color="ddebf6" w:themeColor="accent1" w:themeTint="33" w:fill="ddebf6" w:themeFill="accent1" w:themeFillTint="33"/>
              </w:rPr>
              <w:t xml:space="preserve">» </w:t>
            </w:r>
            <w:r>
              <w:rPr>
                <w:shd w:val="clear" w:color="ddebf6" w:themeColor="accent1" w:themeTint="33" w:fill="ddebf6" w:themeFill="accent1" w:themeFillTint="33"/>
              </w:rPr>
              <w:t xml:space="preserve">июля </w:t>
            </w:r>
            <w:r>
              <w:rPr>
                <w:shd w:val="clear" w:color="ddebf6" w:themeColor="accent1" w:themeTint="33" w:fill="ddebf6" w:themeFill="accent1" w:themeFillTint="33"/>
              </w:rPr>
              <w:t xml:space="preserve">2026 года</w:t>
            </w:r>
            <w:r>
              <w:t xml:space="preserve">.</w:t>
            </w:r>
            <w:r/>
          </w:p>
          <w:p>
            <w:pPr>
              <w:pStyle w:val="1546"/>
              <w:jc w:val="both"/>
            </w:pPr>
            <w:r/>
            <w:r/>
          </w:p>
          <w:p>
            <w:pPr>
              <w:pStyle w:val="1546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Переторжка: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Дата начала проведения этапа: не менее 24 (двадцати четырех) часов с момента публикации в ЕИС протокола рассмотрения общих частей заявок.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Длительность проведения переторжки: не менее 3 (трех</w:t>
            </w:r>
            <w:bookmarkStart w:id="129" w:name="_GoBack"/>
            <w:r/>
            <w:bookmarkEnd w:id="129"/>
            <w:r>
              <w:rPr>
                <w:color w:val="000000"/>
                <w:lang w:eastAsia="en-US"/>
              </w:rPr>
              <w:t xml:space="preserve">) часов</w:t>
            </w:r>
            <w:r>
              <w:rPr>
                <w:color w:val="000000"/>
                <w:lang w:eastAsia="en-US"/>
              </w:rPr>
              <w:t xml:space="preserve">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b/>
              </w:rPr>
              <w:t xml:space="preserve">Шаг переторжки</w:t>
            </w:r>
            <w:r>
              <w:t xml:space="preserve">: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pStyle w:val="1546"/>
              <w:jc w:val="both"/>
              <w:rPr>
                <w:color w:val="auto"/>
                <w:shd w:val="clear" w:color="auto" w:fill="ffffff"/>
              </w:rPr>
            </w:pPr>
            <w:r>
              <w:rPr>
                <w:color w:val="auto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color w:val="auto"/>
                <w:shd w:val="clear" w:color="auto" w:fill="ffffff"/>
              </w:rPr>
            </w:r>
            <w:r>
              <w:rPr>
                <w:color w:val="auto"/>
                <w:shd w:val="clear" w:color="auto" w:fill="ffffff"/>
              </w:rPr>
            </w:r>
          </w:p>
          <w:p>
            <w:pPr>
              <w:pStyle w:val="1546"/>
              <w:jc w:val="both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1546"/>
              <w:jc w:val="both"/>
            </w:pPr>
            <w:r>
              <w:rPr>
                <w:b/>
              </w:rPr>
              <w:t xml:space="preserve">Подведение итогов</w:t>
            </w:r>
            <w:r>
              <w:t xml:space="preserve">:</w:t>
            </w:r>
            <w:r/>
          </w:p>
          <w:p>
            <w:pPr>
              <w:pStyle w:val="1546"/>
              <w:jc w:val="both"/>
            </w:pPr>
            <w:r>
              <w:t xml:space="preserve">Дата проведения этапа: «</w:t>
            </w:r>
            <w:r>
              <w:rPr>
                <w:shd w:val="clear" w:color="ddebf6" w:themeColor="accent1" w:themeTint="33" w:fill="ddebf6" w:themeFill="accent1" w:themeFillTint="33"/>
              </w:rPr>
              <w:t xml:space="preserve">17</w:t>
            </w:r>
            <w:r>
              <w:rPr>
                <w:shd w:val="clear" w:color="ddebf6" w:themeColor="accent1" w:themeTint="33" w:fill="ddebf6" w:themeFill="accent1" w:themeFillTint="33"/>
              </w:rPr>
              <w:t xml:space="preserve">» июля</w:t>
            </w:r>
            <w:r>
              <w:rPr>
                <w:shd w:val="clear" w:color="ddebf6" w:themeColor="accent1" w:themeTint="33" w:fill="ddebf6" w:themeFill="accent1" w:themeFillTint="33"/>
              </w:rPr>
              <w:t xml:space="preserve"> 2026 года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0" w:name="_Адрес_элек"/>
            <w:r/>
            <w:bookmarkStart w:id="131" w:name="_Адрес_электронной_площадки"/>
            <w:r/>
            <w:bookmarkEnd w:id="130"/>
            <w:r/>
            <w:bookmarkEnd w:id="131"/>
            <w:r>
              <w:rPr>
                <w:rFonts w:ascii="Times New Roman" w:hAnsi="Times New Roman" w:cs="Times New Roman"/>
                <w:b w:val="0"/>
                <w:bCs w:val="0"/>
              </w:rPr>
              <w:t xml:space="preserve">Адрес электронной площадки в информационно телекоммуникационной сети «Интернет»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Сайт электронной торговой площадки: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rStyle w:val="1437"/>
              </w:rPr>
            </w:r>
            <w:r>
              <w:rPr>
                <w:rStyle w:val="1437"/>
              </w:rPr>
              <w:t xml:space="preserve">https://tender.lot-online.ru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highlight w:val="none"/>
              </w:rPr>
            </w:r>
            <w:bookmarkStart w:id="132" w:name="_Размер_обе"/>
            <w:r>
              <w:rPr>
                <w:highlight w:val="none"/>
              </w:rPr>
            </w:r>
            <w:bookmarkStart w:id="133" w:name="_Размер_обеспечения_заявок"/>
            <w:r>
              <w:rPr>
                <w:highlight w:val="none"/>
              </w:rPr>
            </w:r>
            <w:bookmarkEnd w:id="132"/>
            <w:r>
              <w:rPr>
                <w:highlight w:val="none"/>
              </w:rPr>
            </w:r>
            <w:bookmarkEnd w:id="133"/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  <w:t xml:space="preserve">Размер обеспечения заявок на участие в закупке, порядок, срок и случаи возврата такого обеспечения, и иные требования к такому обеспечению, в том числе условия независимой гарантии</w:t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Сумма обеспечения заявки предусмотрена в размере</w:t>
            </w:r>
            <w:r>
              <w:rPr>
                <w:b/>
                <w:bCs/>
                <w:highlight w:val="none"/>
                <w:shd w:val="clear" w:color="ddebf6" w:themeColor="accent1" w:themeTint="33" w:fill="ddebf6" w:themeFill="accent1" w:themeFillTint="33"/>
              </w:rPr>
              <w:t xml:space="preserve"> 2 </w:t>
            </w:r>
            <w:r>
              <w:rPr>
                <w:b/>
                <w:bCs/>
                <w:highlight w:val="none"/>
                <w:shd w:val="clear" w:color="ddebf6" w:themeColor="accent1" w:themeTint="33" w:fill="ddebf6" w:themeFill="accent1" w:themeFillTint="33"/>
              </w:rPr>
              <w:t xml:space="preserve">% </w:t>
            </w:r>
            <w:r>
              <w:rPr>
                <w:highlight w:val="none"/>
              </w:rPr>
              <w:t xml:space="preserve">от начальной (максимальной) цены договора, что составляет </w:t>
            </w:r>
            <w:r>
              <w:rPr>
                <w:b/>
                <w:bCs/>
                <w:highlight w:val="none"/>
                <w:shd w:val="clear" w:color="ddebf6" w:themeColor="accent1" w:themeTint="33" w:fill="ddebf6" w:themeFill="accent1" w:themeFillTint="33"/>
              </w:rPr>
              <w:t xml:space="preserve">1 220 000,00 </w:t>
            </w:r>
            <w:r>
              <w:rPr>
                <w:b/>
                <w:bCs/>
                <w:highlight w:val="none"/>
                <w:shd w:val="clear" w:color="ddebf6" w:themeColor="accent1" w:themeTint="33" w:fill="ddebf6" w:themeFill="accent1" w:themeFillTint="33"/>
              </w:rPr>
              <w:t xml:space="preserve">руб.,</w:t>
            </w:r>
            <w:r>
              <w:rPr>
                <w:highlight w:val="none"/>
              </w:rPr>
              <w:t xml:space="preserve"> НДС не облагается.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eastAsia="en-US"/>
              </w:rPr>
              <w:t xml:space="preserve">Обеспечение заявки может быть представлено в форме внесения денежных средств на </w:t>
            </w:r>
            <w:r>
              <w:rPr>
                <w:highlight w:val="none"/>
              </w:rPr>
              <w:t xml:space="preserve">Лицевой счет участника закупки, открытый оператором электронной площадки в соот</w:t>
            </w:r>
            <w:r>
              <w:rPr>
                <w:highlight w:val="none"/>
              </w:rPr>
              <w:t xml:space="preserve">ветствии с правилами, установленными Регламентом работы ЭТП</w:t>
            </w:r>
            <w:r>
              <w:rPr>
                <w:bCs/>
                <w:highlight w:val="none"/>
                <w:lang w:eastAsia="en-US"/>
              </w:rPr>
              <w:t xml:space="preserve"> или в форме независимой гарантии. Выбор способа обеспечения заявки на участие в закупке осуществляется участником закупки самостоятельно.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eastAsia="en-US"/>
              </w:rPr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spacing w:after="0"/>
              <w:rPr>
                <w:bCs/>
                <w:highlight w:val="none"/>
              </w:rPr>
            </w:pPr>
            <w:r>
              <w:rPr>
                <w:highlight w:val="none"/>
              </w:rPr>
              <w:t xml:space="preserve">Порядок и случаи блокирования денежных средств, внесенных</w:t>
            </w:r>
            <w:r>
              <w:rPr>
                <w:highlight w:val="none"/>
              </w:rPr>
              <w:t xml:space="preserve">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ЭТП</w:t>
            </w:r>
            <w:r>
              <w:rPr>
                <w:bCs/>
                <w:highlight w:val="none"/>
              </w:rPr>
              <w:t xml:space="preserve">.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bCs/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rPr>
                <w:rStyle w:val="1437"/>
                <w:highlight w:val="none"/>
              </w:rPr>
            </w:pPr>
            <w:r>
              <w:rPr>
                <w:bCs/>
                <w:highlight w:val="none"/>
              </w:rPr>
              <w:t xml:space="preserve">Требования к такому обеспечению, в том числе условия независимой гарантии установлены в </w:t>
            </w:r>
            <w:r>
              <w:rPr>
                <w:bCs/>
                <w:highlight w:val="none"/>
              </w:rPr>
              <w:t xml:space="preserve">пункте </w:t>
            </w:r>
            <w:hyperlink w:tooltip="#_Требования_к_обеспечению" w:anchor="_3.6._Требо" w:history="1">
              <w:r>
                <w:rPr>
                  <w:rStyle w:val="1437"/>
                  <w:highlight w:val="none"/>
                </w:rPr>
                <w:t xml:space="preserve">3.6. части I «ОБЩИЕ УСЛОВИЯ ПРОВЕДЕНИЯ ЗАКУПКИ»</w:t>
              </w:r>
            </w:hyperlink>
            <w:r>
              <w:rPr>
                <w:highlight w:val="none"/>
              </w:rPr>
              <w:t xml:space="preserve">.</w:t>
            </w:r>
            <w:r>
              <w:rPr>
                <w:rStyle w:val="1437"/>
                <w:highlight w:val="none"/>
              </w:rPr>
            </w:r>
            <w:r>
              <w:rPr>
                <w:rStyle w:val="1437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4" w:name="_Информация"/>
            <w:r/>
            <w:bookmarkStart w:id="135" w:name="_Сведения_о_предоставлении"/>
            <w:r/>
            <w:bookmarkEnd w:id="134"/>
            <w:r/>
            <w:bookmarkEnd w:id="135"/>
            <w:r>
              <w:rPr>
                <w:rFonts w:ascii="Times New Roman" w:hAnsi="Times New Roman" w:cs="Times New Roman"/>
                <w:b w:val="0"/>
                <w:bCs w:val="0"/>
              </w:rPr>
              <w:t xml:space="preserve">Информация об установлении запрета или ограниче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ния закупки работ, услуг, соответственно выполняемых, оказываемых иностранными лицами, в случае, если такие запреты, ограничения и преимущества установлены в Постановлении Правительства РФ от 23.12.2024 № 1875 «О мерах по предоставлению национального режим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ПП 1875).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  <w:rPr>
                <w:b/>
              </w:rPr>
            </w:pPr>
            <w:r>
              <w:t xml:space="preserve">Не установлено.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Инф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ормацию о возможности изменения сроков проведения этапов закупки, осуществляемых после окончания срока подачи заявок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По решению Закупочной комиссии после окончания срока подачи заявок Организатор закупки вправе изменить сроки проведения последующих этапов </w:t>
            </w:r>
            <w:r>
              <w:t xml:space="preserve">закупки.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6" w:name="_Единые_требования_к"/>
            <w:r/>
            <w:bookmarkStart w:id="137" w:name="Par55"/>
            <w:r/>
            <w:bookmarkEnd w:id="136"/>
            <w:r>
              <w:rPr>
                <w:rFonts w:ascii="Times New Roman" w:hAnsi="Times New Roman" w:cs="Times New Roman"/>
                <w:b w:val="0"/>
                <w:bCs w:val="0"/>
              </w:rPr>
              <w:t xml:space="preserve">Единые требования к участникам закупки</w:t>
            </w:r>
            <w:bookmarkEnd w:id="137"/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530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должен обладать гражданской правоспособностью в полном объеме для заключения и исполнения Договора;</w:t>
            </w:r>
            <w:r/>
          </w:p>
          <w:p>
            <w:pPr>
              <w:pStyle w:val="1530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не должен являться неплатежеспособным или банкротом, должно отсутствовать вступившее в законную силу решен</w:t>
            </w:r>
            <w:r>
              <w:t xml:space="preserve">ие арбитражного суда об открытии конкурсного производства, не должен находиться в процессе ликвидации, на имущество Участника не должен быть наложен арест, экономическая деятельность Участника не должна быть приостановлена;</w:t>
            </w:r>
            <w:r/>
          </w:p>
          <w:p>
            <w:pPr>
              <w:pStyle w:val="1530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rPr>
                <w:bCs/>
              </w:rPr>
              <w:t xml:space="preserve">должна отсутствовать недоимка по налогам, сборам, задолженность по иным обязательным платежам в бюджеты бюджетной системы Российской Федерации за прошедший календарный год, размер которых превышает двадцать пять процентов балансовой стоимости активов Участ</w:t>
            </w:r>
            <w:r>
              <w:rPr>
                <w:bCs/>
              </w:rPr>
              <w:t xml:space="preserve">ника, по данным бухгалтерской отчетности за последний отчетный период;</w:t>
            </w:r>
            <w:r/>
          </w:p>
          <w:p>
            <w:pPr>
              <w:pStyle w:val="1530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  <w:rPr>
                <w:color w:val="000000" w:themeColor="text1"/>
              </w:rPr>
            </w:pPr>
            <w:r>
              <w:rPr>
                <w:lang w:eastAsia="zh-CN"/>
              </w:rPr>
              <w:t xml:space="preserve">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должно </w:t>
            </w:r>
            <w:r>
              <w:rPr>
                <w:lang w:eastAsia="zh-CN"/>
              </w:rPr>
              <w:t xml:space="preserve">отсутствовать административ</w:t>
            </w:r>
            <w:r>
              <w:rPr>
                <w:lang w:eastAsia="zh-CN"/>
              </w:rPr>
              <w:t xml:space="preserve">ное наказание в виде дисквалификации. Должны отсутствовать сведения об участнике закупки в реестре розыска по исполнительным производствам на электронном портале </w:t>
            </w:r>
            <w:hyperlink r:id="rId37" w:tooltip="http://fssprus.ru/" w:history="1">
              <w:r>
                <w:rPr>
                  <w:rStyle w:val="1437"/>
                  <w:lang w:eastAsia="zh-CN"/>
                </w:rPr>
                <w:t xml:space="preserve">http://fssprus.ru/</w:t>
              </w:r>
            </w:hyperlink>
            <w:r>
              <w:rPr>
                <w:color w:val="000000" w:themeColor="text1"/>
              </w:rPr>
              <w:t xml:space="preserve">;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530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в течение двух </w:t>
            </w:r>
            <w:r>
              <w:t xml:space="preserve">лет до момента подачи заявки на участие в закупке, участник закупки не должен иметь фактов привлечения к административной ответственности за совершение административного правонарушения, предусмотренного </w:t>
            </w:r>
            <w:hyperlink r:id="rId38" w:tooltip="http://www.consultant.ru/document/cons_doc_LAW_34661/f61ff313afecf81a91a43d729c2df55c1d6a1533/" w:history="1">
              <w:r>
                <w:rPr>
                  <w:rStyle w:val="1437"/>
                </w:rPr>
                <w:t xml:space="preserve">статьей 19.28</w:t>
              </w:r>
            </w:hyperlink>
            <w:r>
              <w:t xml:space="preserve"> Кодекса Российской Федерации об административных правонарушениях;</w:t>
            </w:r>
            <w:r/>
          </w:p>
          <w:p>
            <w:pPr>
              <w:pStyle w:val="1530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отсутствие сведен</w:t>
            </w:r>
            <w:r>
              <w:t xml:space="preserve">ий об Участнике в </w:t>
            </w:r>
            <w:hyperlink r:id="rId39" w:tooltip="https://zakupki.gov.ru/epz/dishonestsupplier/search/results.html" w:history="1">
              <w:r>
                <w:rPr>
                  <w:rStyle w:val="1437"/>
                </w:rPr>
                <w:t xml:space="preserve">Реестре</w:t>
              </w:r>
            </w:hyperlink>
            <w:r>
              <w:t xml:space="preserve"> недобросовестных поставщиков, который ведется в соответствии с </w:t>
            </w:r>
            <w:hyperlink r:id="rId40" w:tooltip="https://www.consultant.ru/document/cons_doc_LAW_116964/a3b63487ad7d07ce045a07b0f1e7a9d9b064de95/?ysclid=lgq77170fl163638946" w:history="1">
              <w:r>
                <w:rPr>
                  <w:rStyle w:val="1437"/>
                </w:rPr>
                <w:t xml:space="preserve">Фед</w:t>
              </w:r>
              <w:r>
                <w:rPr>
                  <w:rStyle w:val="1437"/>
                </w:rPr>
                <w:t xml:space="preserve">еральным законом от 18.07.2011 № 223-ФЗ «О закупках товаров, работ, услуг отдельными видами юридических лиц»</w:t>
              </w:r>
            </w:hyperlink>
            <w:r>
              <w:t xml:space="preserve">;</w:t>
            </w:r>
            <w:r/>
          </w:p>
          <w:p>
            <w:pPr>
              <w:pStyle w:val="1530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отсутствие сведений об Участнике в </w:t>
            </w:r>
            <w:hyperlink r:id="rId41" w:tooltip="https://zakupki.gov.ru/epz/dishonestsupplier/search/results.html" w:history="1">
              <w:r>
                <w:rPr>
                  <w:rStyle w:val="1437"/>
                </w:rPr>
                <w:t xml:space="preserve">Реестре</w:t>
              </w:r>
            </w:hyperlink>
            <w:r>
              <w:t xml:space="preserve"> недобросовестных поставщиков, который ведется в соответствии с </w:t>
            </w:r>
            <w:hyperlink r:id="rId42" w:tooltip="https://www.consultant.ru/document/cons_doc_LAW_144624/af90cad46f4484d18fa490ef1c9d7a3b2fd3be3b/" w:history="1">
              <w:r>
                <w:rPr>
                  <w:rStyle w:val="1437"/>
                </w:rPr>
                <w:t xml:space="preserve">Федеральным законом от 05.04.2013 N 44-ФЗ «О контрактной системе в сфере закупок товаров, работ, услуг для обеспечения государственных и муниципальных нужд»</w:t>
              </w:r>
            </w:hyperlink>
            <w:r>
              <w:t xml:space="preserve">;</w:t>
            </w:r>
            <w:r/>
          </w:p>
          <w:p>
            <w:pPr>
              <w:pStyle w:val="1530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    отсутствие сведений об У</w:t>
            </w:r>
            <w:r>
              <w:t xml:space="preserve">частнике в </w:t>
            </w:r>
            <w:hyperlink r:id="rId43" w:tooltip="https://minjust.gov.ru/ru/activity/directions/998/" w:history="1">
              <w:r>
                <w:rPr>
                  <w:rStyle w:val="1437"/>
                </w:rPr>
                <w:t xml:space="preserve">Реестре</w:t>
              </w:r>
            </w:hyperlink>
            <w:r>
              <w:t xml:space="preserve"> иностранных агентов, размещенном на официальном сайте уполномоченного органа в информационно-телекоммуникационной </w:t>
            </w:r>
            <w:r>
              <w:t xml:space="preserve">сети «Интернет», который ведется в соответствии с </w:t>
            </w:r>
            <w:hyperlink r:id="rId44" w:tooltip="https://www.consultant.ru/document/cons_doc_LAW_421788/?ysclid=lg20fc4h7v470804950" w:history="1">
              <w:r>
                <w:rPr>
                  <w:rStyle w:val="1437"/>
                </w:rPr>
                <w:t xml:space="preserve">Федеральным законом</w:t>
              </w:r>
              <w:r>
                <w:rPr>
                  <w:rStyle w:val="1437"/>
                </w:rPr>
                <w:t xml:space="preserve"> от 14 июля 2022 года N 255-ФЗ «О контроле за деятельностью лиц, находящихся под иностранным влиянием»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highlight w:val="none"/>
              </w:rPr>
            </w:r>
            <w:bookmarkStart w:id="138" w:name="_Требования,_установленные_в"/>
            <w:r>
              <w:rPr>
                <w:highlight w:val="none"/>
              </w:rPr>
            </w:r>
            <w:bookmarkEnd w:id="138"/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  <w:t xml:space="preserve">Требования, установленные в соответствии с законодательством Российской Федерации к лицам, осуществляющим поставку товара, выполнение работы, оказание</w:t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  <w:t xml:space="preserve"> услуги, являющихся предметом закупки</w:t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530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  <w:rPr>
                <w:highlight w:val="none"/>
              </w:rPr>
            </w:pPr>
            <w:r>
              <w:rPr>
                <w:highlight w:val="none"/>
                <w:shd w:val="clear" w:color="ddebf6" w:themeColor="accent1" w:themeTint="33" w:fill="ddebf6" w:themeFill="accent1" w:themeFillTint="33"/>
              </w:rPr>
              <w:t xml:space="preserve">Участник должен быть членом саморегулируемой организации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530"/>
              <w:numPr>
                <w:ilvl w:val="0"/>
                <w:numId w:val="30"/>
              </w:numPr>
              <w:ind w:left="0" w:firstLine="283"/>
              <w:jc w:val="both"/>
              <w:rPr>
                <w:i/>
                <w:highlight w:val="none"/>
              </w:rPr>
            </w:pPr>
            <w:r>
              <w:rPr>
                <w:b/>
                <w:highlight w:val="none"/>
                <w:shd w:val="clear" w:color="ddebf6" w:themeColor="accent1" w:themeTint="33" w:fill="ddebf6" w:themeFill="accent1" w:themeFillTint="33"/>
              </w:rPr>
              <w:t xml:space="preserve">в области инженерных изысканий</w:t>
            </w:r>
            <w:r>
              <w:rPr>
                <w:highlight w:val="none"/>
              </w:rPr>
              <w:t xml:space="preserve"> (не требуется членство в саморегулируемых организациях в области инженерных изысканий в случаях, которые перечислены в части </w:t>
            </w:r>
            <w:hyperlink r:id="rId45" w:tooltip="https://www.consultant.ru/document/cons_doc_LAW_51040/f651879e0acd4680a6fdc29f983536624055cbcc/?ysclid=lh7dhcp1aq961991988#dst1676" w:anchor="dst1676" w:history="1">
              <w:r>
                <w:rPr>
                  <w:rStyle w:val="1437"/>
                  <w:highlight w:val="none"/>
                </w:rPr>
                <w:t xml:space="preserve">2.1 статьи 47 Градостроительного кодекса Российской Федерации</w:t>
              </w:r>
            </w:hyperlink>
            <w:r>
              <w:rPr>
                <w:highlight w:val="none"/>
              </w:rPr>
              <w:t xml:space="preserve">). Адрес сайта в информационно-телеко</w:t>
            </w:r>
            <w:r>
              <w:rPr>
                <w:highlight w:val="none"/>
              </w:rPr>
              <w:t xml:space="preserve">ммуникационной сети «Интернет», на которых размещены эти информация и документы: </w:t>
            </w:r>
            <w:hyperlink r:id="rId46" w:tooltip="https://nopriz.ru/" w:history="1">
              <w:r>
                <w:rPr>
                  <w:rStyle w:val="1437"/>
                  <w:highlight w:val="none"/>
                </w:rPr>
                <w:t xml:space="preserve">https://nopriz.ru/</w:t>
              </w:r>
            </w:hyperlink>
            <w:r>
              <w:rPr>
                <w:highlight w:val="none"/>
              </w:rPr>
              <w:t xml:space="preserve">; </w:t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pStyle w:val="1530"/>
              <w:numPr>
                <w:ilvl w:val="0"/>
                <w:numId w:val="30"/>
              </w:numPr>
              <w:ind w:left="0" w:firstLine="283"/>
              <w:jc w:val="both"/>
              <w:rPr>
                <w:highlight w:val="none"/>
              </w:rPr>
            </w:pPr>
            <w:r>
              <w:rPr>
                <w:b/>
                <w:highlight w:val="none"/>
                <w:shd w:val="clear" w:color="ddebf6" w:themeColor="accent1" w:themeTint="33" w:fill="ddebf6" w:themeFill="accent1" w:themeFillTint="33"/>
              </w:rPr>
              <w:t xml:space="preserve">в области проектирования</w:t>
            </w:r>
            <w:r>
              <w:rPr>
                <w:highlight w:val="none"/>
              </w:rPr>
              <w:t xml:space="preserve"> (не требуется членство в саморегулируемых организациях в области архитектурно-строительного проектирования в случаях, которые перечислен</w:t>
            </w:r>
            <w:r>
              <w:rPr>
                <w:highlight w:val="none"/>
              </w:rPr>
              <w:t xml:space="preserve">ы в </w:t>
            </w:r>
            <w:hyperlink r:id="rId47" w:tooltip="https://www.consultant.ru/document/cons_doc_LAW_51040/b884020ea7453099ba8bc9ca021b84982cadea7d/?ysclid=lh7dkmbcyr186717647#dst1683" w:anchor="dst1683" w:history="1">
              <w:r>
                <w:rPr>
                  <w:rStyle w:val="1437"/>
                  <w:highlight w:val="none"/>
                </w:rPr>
                <w:t xml:space="preserve">части 4.1 статьи 48 Градостроительного кодекса Российской Федерации</w:t>
              </w:r>
            </w:hyperlink>
            <w:r>
              <w:rPr>
                <w:highlight w:val="none"/>
              </w:rPr>
              <w:t xml:space="preserve">). Адрес сайта в информационно-телекоммуникационной сети «Интернет», на которых размещены эти информация и документы: </w:t>
            </w:r>
            <w:hyperlink r:id="rId48" w:tooltip="https://nopriz.ru/" w:history="1">
              <w:r>
                <w:rPr>
                  <w:rStyle w:val="1437"/>
                  <w:highlight w:val="none"/>
                </w:rPr>
                <w:t xml:space="preserve">https://nopriz.ru/</w:t>
              </w:r>
            </w:hyperlink>
            <w:r>
              <w:rPr>
                <w:highlight w:val="none"/>
              </w:rPr>
              <w:t xml:space="preserve">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530"/>
              <w:numPr>
                <w:ilvl w:val="0"/>
                <w:numId w:val="30"/>
              </w:numPr>
              <w:ind w:left="0" w:firstLine="283"/>
              <w:jc w:val="both"/>
              <w:rPr>
                <w:i/>
                <w:highlight w:val="none"/>
              </w:rPr>
            </w:pPr>
            <w:r>
              <w:rPr>
                <w:b/>
                <w:highlight w:val="none"/>
                <w:shd w:val="clear" w:color="ddebf6" w:themeColor="accent1" w:themeTint="33" w:fill="ddebf6" w:themeFill="accent1" w:themeFillTint="33"/>
              </w:rPr>
              <w:t xml:space="preserve">в области строительства, р</w:t>
            </w:r>
            <w:r>
              <w:rPr>
                <w:b/>
                <w:highlight w:val="none"/>
                <w:shd w:val="clear" w:color="ddebf6" w:themeColor="accent1" w:themeTint="33" w:fill="ddebf6" w:themeFill="accent1" w:themeFillTint="33"/>
              </w:rPr>
              <w:t xml:space="preserve">еконструкции, капитального ремонта объектов капитального строительства</w:t>
            </w:r>
            <w:r>
              <w:rPr>
                <w:highlight w:val="none"/>
                <w:shd w:val="clear" w:color="ddebf6" w:themeColor="accent1" w:themeTint="33" w:fill="ddebf6" w:themeFill="accent1" w:themeFillTint="33"/>
              </w:rPr>
              <w:t xml:space="preserve"> </w:t>
            </w:r>
            <w:r>
              <w:rPr>
                <w:highlight w:val="none"/>
              </w:rPr>
              <w:t xml:space="preserve">(не требуется членство в саморегулируемых организациях в области строительства, реконструкции, капитального ремонта в случаях, которые перечислены в </w:t>
            </w:r>
            <w:hyperlink r:id="rId49" w:tooltip="https://www.consultant.ru/document/cons_doc_LAW_51040/df32b8231cf067c4d4e864c717eb6b398358b504/?ysclid=lh7dmiyi73943741650#dst1696" w:anchor="dst1696" w:history="1">
              <w:r>
                <w:rPr>
                  <w:rStyle w:val="1437"/>
                  <w:highlight w:val="none"/>
                </w:rPr>
                <w:t xml:space="preserve">част</w:t>
              </w:r>
              <w:r>
                <w:rPr>
                  <w:rStyle w:val="1437"/>
                  <w:highlight w:val="none"/>
                </w:rPr>
                <w:t xml:space="preserve">и 2.1 и в части 2.2 статьи 52 Градостроительного кодекса Российской Федерации</w:t>
              </w:r>
            </w:hyperlink>
            <w:r>
              <w:rPr>
                <w:highlight w:val="none"/>
              </w:rPr>
              <w:t xml:space="preserve">). Адрес сайта в информационно-телекоммуникационной сети «Интернет», на которых размещены эти информация и документы: </w:t>
            </w:r>
            <w:hyperlink r:id="rId50" w:tooltip="https://nostroy.ru/" w:history="1">
              <w:r>
                <w:rPr>
                  <w:rStyle w:val="1437"/>
                  <w:highlight w:val="none"/>
                </w:rPr>
                <w:t xml:space="preserve">https://nostroy.ru/</w:t>
              </w:r>
            </w:hyperlink>
            <w:r>
              <w:rPr>
                <w:rStyle w:val="1437"/>
                <w:color w:val="auto"/>
                <w:highlight w:val="none"/>
                <w:u w:val="none"/>
              </w:rPr>
              <w:t xml:space="preserve">;</w:t>
            </w:r>
            <w:r>
              <w:rPr>
                <w:rStyle w:val="1437"/>
                <w:i/>
                <w:color w:val="auto"/>
                <w:highlight w:val="none"/>
                <w:u w:val="none"/>
              </w:rPr>
              <w:t xml:space="preserve"> </w:t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pStyle w:val="1530"/>
              <w:ind w:left="0"/>
              <w:jc w:val="both"/>
              <w:rPr>
                <w:highlight w:val="none"/>
              </w:rPr>
            </w:pPr>
            <w:r>
              <w:rPr>
                <w:highlight w:val="none"/>
              </w:rPr>
              <w:t xml:space="preserve">Участник закупки, должен иметь право выполнять работы в отношении объектов капитального строительства (кроме особо опасных, технически сложных и уникальных объектов, а также объектов использования атомной энергии).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530"/>
              <w:ind w:left="0"/>
              <w:jc w:val="both"/>
              <w:rPr>
                <w:highlight w:val="none"/>
              </w:rPr>
            </w:pPr>
            <w:r>
              <w:rPr>
                <w:highlight w:val="none"/>
              </w:rPr>
              <w:t xml:space="preserve">Саморегулируемая</w:t>
            </w:r>
            <w:r>
              <w:rPr>
                <w:highlight w:val="none"/>
              </w:rPr>
              <w:t xml:space="preserve"> организация, в которой состоит участник, должна иметь компенсационный фонд обеспечения договорных обязательств.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auto" w:fill="ffffff"/>
              <w:rPr>
                <w:highlight w:val="none"/>
              </w:rPr>
            </w:pPr>
            <w:r>
              <w:rPr>
                <w:highlight w:val="none"/>
              </w:rPr>
              <w:t xml:space="preserve">Совокупный размер обязательств участника закупки по договорам, которые заключены с использованием конкурентных способов, не должен превышать ур</w:t>
            </w:r>
            <w:r>
              <w:rPr>
                <w:highlight w:val="none"/>
              </w:rPr>
              <w:t xml:space="preserve">овень ответственности участника по компенсационному фонду обеспечения договорных обязательств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</w:r>
            <w:r>
              <w:rPr>
                <w:rFonts w:eastAsiaTheme="minorHAnsi"/>
                <w:b/>
                <w:lang w:eastAsia="en-US"/>
              </w:rPr>
            </w:r>
            <w:r>
              <w:rPr>
                <w:rFonts w:eastAsiaTheme="minorHAnsi"/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530"/>
              <w:contextualSpacing/>
              <w:ind w:left="0"/>
              <w:jc w:val="both"/>
              <w:tabs>
                <w:tab w:val="left" w:pos="351" w:leader="none"/>
              </w:tabs>
            </w:pPr>
            <w:r/>
            <w:bookmarkStart w:id="139" w:name="_Квалификационные_требования_к"/>
            <w:r/>
            <w:bookmarkStart w:id="140" w:name="Par56"/>
            <w:r/>
            <w:bookmarkEnd w:id="139"/>
            <w:r>
              <w:t xml:space="preserve">Иные отборочные критерии, установленные в соответствии </w:t>
            </w:r>
            <w:bookmarkEnd w:id="140"/>
            <w:r>
              <w:t xml:space="preserve">с   Приложением 1 к «Типовым требованиям к участникам закупок, критериям и порядку оценки заявок участников зак</w:t>
            </w:r>
            <w:r>
              <w:t xml:space="preserve">упок» Единого стандарта ПАО «Россети»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32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должен иметь за последние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 опыт исполнения аналог</w:t>
            </w:r>
            <w:r>
              <w:t xml:space="preserve">ичных договоров на общую сумму (без НДС) не менее 80% (восемьдесят процентов) стоимости начальной (максимальной) цены договора (лота) (без НДС), установленной в настоящей информационной карте закупки.</w:t>
            </w:r>
            <w:r/>
          </w:p>
          <w:p>
            <w:pPr>
              <w:contextualSpacing/>
              <w:jc w:val="both"/>
              <w:spacing w:after="0" w:line="240" w:lineRule="auto"/>
              <w:shd w:val="clear" w:color="ddebf6" w:themeColor="accent1" w:themeTint="33" w:fill="ddebf6" w:themeFill="accent1" w:themeFillTint="33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  <w:t xml:space="preserve">При этом аналогичными договорами будут признаны договор</w:t>
            </w:r>
            <w:r>
              <w:rPr>
                <w:b/>
                <w:highlight w:val="none"/>
              </w:rPr>
              <w:t xml:space="preserve">ы на:</w:t>
            </w:r>
            <w:r>
              <w:rPr>
                <w:b w:val="0"/>
                <w:bCs/>
                <w:i/>
                <w:color w:val="100cf2"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contextualSpacing/>
              <w:jc w:val="both"/>
              <w:spacing w:after="0" w:line="240" w:lineRule="auto"/>
              <w:shd w:val="clear" w:color="ddebf6" w:themeColor="accent1" w:themeTint="33" w:fill="ddebf6" w:themeFill="accent1" w:themeFillTint="33"/>
              <w:rPr>
                <w:b w:val="0"/>
                <w:bCs/>
                <w:i/>
                <w:color w:val="100cf2"/>
                <w:highlight w:val="none"/>
              </w:rPr>
            </w:pPr>
            <w:r>
              <w:rPr>
                <w:b/>
                <w:highlight w:val="none"/>
              </w:rPr>
              <w:t xml:space="preserve"> </w:t>
            </w:r>
            <w:r>
              <w:rPr>
                <w:b w:val="0"/>
                <w:bCs w:val="0"/>
                <w:i/>
                <w:iCs/>
                <w:color w:val="100cf2"/>
                <w:highlight w:val="none"/>
              </w:rPr>
              <w:t xml:space="preserve">Выполнение работ «под ключ» по строительству/реконструкции/ремонту объектов электросетевого хозяйства напряжением от 0,4 кВ до 15 кВ, мощностью от 1 до 150 кВт.</w:t>
            </w:r>
            <w:r>
              <w:rPr>
                <w:b w:val="0"/>
                <w:bCs w:val="0"/>
                <w:i/>
                <w:iCs/>
                <w:color w:val="100cf2"/>
                <w:highlight w:val="none"/>
              </w:rPr>
            </w:r>
            <w:r>
              <w:rPr>
                <w:b w:val="0"/>
                <w:bCs/>
                <w:i/>
                <w:color w:val="100cf2"/>
                <w:highlight w:val="none"/>
              </w:rPr>
            </w:r>
          </w:p>
          <w:p>
            <w:pPr>
              <w:contextualSpacing/>
              <w:jc w:val="both"/>
              <w:spacing w:after="0" w:line="240" w:lineRule="auto"/>
              <w:shd w:val="clear" w:color="ddebf6" w:themeColor="accent1" w:themeTint="33" w:fill="ddebf6" w:themeFill="accent1" w:themeFillTint="33"/>
              <w:rPr>
                <w:b w:val="0"/>
                <w:bCs/>
                <w:i/>
                <w:color w:val="100cf2"/>
              </w:rPr>
            </w:pPr>
            <w:r>
              <w:rPr>
                <w:b w:val="0"/>
                <w:bCs w:val="0"/>
                <w:i/>
                <w:iCs/>
                <w:color w:val="100cf2"/>
                <w:highlight w:val="none"/>
              </w:rPr>
              <w:t xml:space="preserve">Выполнение работ по проектированию объектов электросетевого хозяйства напряжением от 0,4 кВ до 15 кВ, мощностью от 1 до 150 кВт.</w:t>
            </w:r>
            <w:r>
              <w:rPr>
                <w:b w:val="0"/>
                <w:bCs w:val="0"/>
                <w:i/>
                <w:iCs/>
                <w:color w:val="100cf2"/>
                <w:highlight w:val="none"/>
              </w:rPr>
            </w:r>
            <w:r>
              <w:rPr>
                <w:b w:val="0"/>
                <w:bCs/>
                <w:i/>
                <w:color w:val="100cf2"/>
              </w:rPr>
            </w:r>
          </w:p>
          <w:p>
            <w:pPr>
              <w:contextualSpacing/>
              <w:jc w:val="both"/>
              <w:spacing w:after="0" w:line="240" w:lineRule="auto"/>
              <w:shd w:val="clear" w:color="ddebf6" w:themeColor="accent1" w:themeTint="33" w:fill="ddebf6" w:themeFill="accent1" w:themeFillTint="33"/>
              <w:rPr>
                <w:rFonts w:cstheme="minorHAnsi"/>
                <w:b w:val="0"/>
                <w:bCs/>
                <w:i/>
                <w:color w:val="100cf2"/>
              </w:rPr>
            </w:pPr>
            <w:r>
              <w:rPr>
                <w:b w:val="0"/>
                <w:bCs w:val="0"/>
                <w:i/>
                <w:iCs/>
                <w:color w:val="100cf2"/>
                <w:highlight w:val="none"/>
              </w:rPr>
              <w:t xml:space="preserve">Выполнение строительно-монтажных работ по строительству/реконструкции/ремонту объектов электросетевого хозяйства напряжением от 0,4 кВ до 15 кВ, мощностью от 1 до 150 кВт.</w:t>
            </w:r>
            <w:r>
              <w:rPr>
                <w:b w:val="0"/>
                <w:bCs w:val="0"/>
                <w:i/>
                <w:iCs/>
                <w:color w:val="100cf2"/>
              </w:rPr>
            </w:r>
            <w:r>
              <w:rPr>
                <w:rFonts w:cstheme="minorHAnsi"/>
                <w:b w:val="0"/>
                <w:bCs/>
                <w:i/>
                <w:color w:val="100cf2"/>
              </w:rPr>
            </w:r>
          </w:p>
          <w:p>
            <w:pPr>
              <w:spacing w:after="0"/>
              <w:rPr>
                <w:b/>
                <w:bCs/>
                <w:i/>
                <w:u w:val="single"/>
              </w:rPr>
            </w:pPr>
            <w:r>
              <w:rPr>
                <w:b/>
                <w:highlight w:val="yellow"/>
              </w:rPr>
            </w:r>
            <w:r>
              <w:rPr>
                <w:b/>
                <w:bCs/>
                <w:i/>
                <w:u w:val="single"/>
              </w:rPr>
            </w:r>
            <w:r>
              <w:rPr>
                <w:b/>
                <w:bCs/>
                <w:i/>
                <w:u w:val="single"/>
              </w:rPr>
            </w:r>
          </w:p>
          <w:p>
            <w:pPr>
              <w:spacing w:after="0"/>
            </w:pPr>
            <w:r>
              <w:t xml:space="preserve">В рамках данного требования к учету будет принята стоимость выполненных работ по аналогичным договорам, которые завершены  за последние 3 (три) года на дату размещения извещения о закупке на официальном сайте ед</w:t>
            </w:r>
            <w:r>
              <w:t xml:space="preserve">иной информационной системы в сфере закупок в информационно-телекоммуникационной сети Интернет, отраженная в последней «Справке о стоимости выполненных работ и затрат» по форме КС-3 (в случае если в соответствии с условиями договора такая форма предусмотре</w:t>
            </w:r>
            <w:r>
              <w:t xml:space="preserve">на), либо в актах выполненных работ. </w:t>
            </w:r>
            <w:r/>
          </w:p>
          <w:p>
            <w:pPr>
              <w:pStyle w:val="150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расчета исключаются договоры, не являющиеся аналогичными, договоры, не исполненные на 100%, договоры, указанные в справке, по которым отсутствуют подтверждающие документы, а также договоры, не указанные в справке.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1" w:name="_Сведения_и"/>
            <w:r/>
            <w:bookmarkStart w:id="142" w:name="_Сведения_и_документы,"/>
            <w:r/>
            <w:bookmarkStart w:id="143" w:name="Par66"/>
            <w:r/>
            <w:bookmarkEnd w:id="141"/>
            <w:r/>
            <w:bookmarkEnd w:id="142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и документы, входящие в состав заявки на участие </w:t>
            </w:r>
            <w:bookmarkEnd w:id="143"/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состав </w:t>
            </w:r>
            <w:r>
              <w:rPr>
                <w:b/>
                <w:lang w:eastAsia="en-US"/>
              </w:rPr>
              <w:t xml:space="preserve">ценового предложения</w:t>
            </w:r>
            <w:r>
              <w:rPr>
                <w:lang w:eastAsia="en-US"/>
              </w:rPr>
              <w:t xml:space="preserve"> Участник должен включить следующие документы: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ТЕХН" w:anchor="_ФОРМА_Комм" w:history="1">
              <w:r>
                <w:rPr>
                  <w:rStyle w:val="1437"/>
                  <w:lang w:eastAsia="en-US"/>
                </w:rPr>
                <w:t xml:space="preserve">КОММЕРЧЕСКОЕ ПРЕДЛОЖЕНИЕ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</w:t>
            </w:r>
            <w:r>
              <w:rPr>
                <w:lang w:eastAsia="en-US"/>
              </w:rPr>
              <w:t xml:space="preserve">денными в настоящей документации о закупке (часть </w:t>
            </w:r>
            <w:hyperlink w:tooltip="#_III._ОБРАЗ" w:anchor="_III._ОБРАЗ" w:history="1">
              <w:r>
                <w:rPr>
                  <w:rStyle w:val="1437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  <w:tab w:val="left" w:pos="1418" w:leader="none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  <w:tab w:val="left" w:pos="1418" w:leader="none"/>
              </w:tabs>
              <w:rPr>
                <w:bCs/>
                <w:color w:val="ff0000"/>
                <w:lang w:eastAsia="en-US"/>
              </w:rPr>
            </w:pPr>
            <w:r>
              <w:rPr>
                <w:b/>
                <w:bCs/>
                <w:color w:val="ff0000"/>
                <w:u w:val="single"/>
                <w:lang w:eastAsia="en-US"/>
              </w:rPr>
              <w:t xml:space="preserve">Примечание:</w:t>
            </w:r>
            <w:r>
              <w:rPr>
                <w:bCs/>
                <w:color w:val="ff0000"/>
                <w:lang w:eastAsia="en-US"/>
              </w:rPr>
              <w:t xml:space="preserve"> участник закупки в </w:t>
            </w:r>
            <w:hyperlink w:tooltip="#_ФОРМА_Коммерческое_предложение" w:anchor="_ФОРМА_Комм" w:history="1">
              <w:r>
                <w:rPr>
                  <w:rStyle w:val="1437"/>
                  <w:bCs/>
                  <w:lang w:eastAsia="en-US"/>
                </w:rPr>
                <w:t xml:space="preserve">КОММЕРЧЕСКОМ ПРЕДЛОЖЕНИИ</w:t>
              </w:r>
            </w:hyperlink>
            <w:r>
              <w:rPr>
                <w:bCs/>
                <w:color w:val="ff0000"/>
                <w:lang w:eastAsia="en-US"/>
              </w:rPr>
              <w:t xml:space="preserve"> должен указать предложение о коэффициенте понижения цены.</w:t>
            </w:r>
            <w:r>
              <w:rPr>
                <w:bCs/>
                <w:color w:val="ff0000"/>
                <w:lang w:eastAsia="en-US"/>
              </w:rPr>
            </w:r>
            <w:r>
              <w:rPr>
                <w:bCs/>
                <w:color w:val="ff0000"/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  <w:tab w:val="left" w:pos="1418" w:leader="none"/>
              </w:tabs>
              <w:rPr>
                <w:bCs/>
                <w:color w:val="ff0000"/>
                <w:lang w:eastAsia="en-US"/>
              </w:rPr>
            </w:pPr>
            <w:r>
              <w:rPr>
                <w:bCs/>
                <w:color w:val="ff0000"/>
                <w:lang w:eastAsia="en-US"/>
              </w:rPr>
              <w:t xml:space="preserve">При формировании ценовой части заявки участник закупки указывает в форме, заполняемой на ЭТП, условную итоговую стоимость заявки участника.</w:t>
            </w:r>
            <w:r>
              <w:rPr>
                <w:bCs/>
                <w:color w:val="ff0000"/>
                <w:lang w:eastAsia="en-US"/>
              </w:rPr>
            </w:r>
            <w:r>
              <w:rPr>
                <w:bCs/>
                <w:color w:val="ff0000"/>
                <w:lang w:eastAsia="en-US"/>
              </w:rPr>
            </w:r>
          </w:p>
          <w:p>
            <w:pPr>
              <w:pStyle w:val="1488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bCs/>
                <w:color w:val="ff0000"/>
                <w:lang w:eastAsia="en-US"/>
              </w:rPr>
              <w:t xml:space="preserve">При этом участник закупки загружает в ценовую часть заявки на ЭТП заполненный файл </w:t>
            </w:r>
            <w:hyperlink w:tooltip="#_ФОРМА_Коммерческое_предложение" w:anchor="_ФОРМА_Комм" w:history="1">
              <w:r>
                <w:rPr>
                  <w:rStyle w:val="1437"/>
                  <w:bCs/>
                  <w:lang w:eastAsia="en-US"/>
                </w:rPr>
                <w:t xml:space="preserve">КОММЕРЧЕСКОГО ПРЕДЛОЖЕНИЯ</w:t>
              </w:r>
            </w:hyperlink>
            <w:r>
              <w:rPr>
                <w:bCs/>
                <w:color w:val="ff0000"/>
                <w:lang w:eastAsia="en-US"/>
              </w:rPr>
              <w:t xml:space="preserve"> в редактируемом формате и в виде сканированного образа документа, подписанного</w:t>
            </w:r>
            <w:r>
              <w:rPr>
                <w:bCs/>
                <w:color w:val="ff0000"/>
                <w:lang w:eastAsia="en-US"/>
              </w:rPr>
              <w:t xml:space="preserve"> уполномоченным лицом участника.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8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8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состав </w:t>
            </w:r>
            <w:r>
              <w:rPr>
                <w:b/>
                <w:lang w:eastAsia="en-US"/>
              </w:rPr>
              <w:t xml:space="preserve">общей части заявки</w:t>
            </w:r>
            <w:r>
              <w:rPr>
                <w:lang w:eastAsia="en-US"/>
              </w:rPr>
              <w:t xml:space="preserve"> Участник должен включить следующие документы: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8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rStyle w:val="1437"/>
                <w:color w:val="auto"/>
                <w:u w:val="none"/>
                <w:lang w:eastAsia="en-US"/>
              </w:rPr>
            </w:pPr>
            <w:r>
              <w:rPr>
                <w:color w:val="auto"/>
                <w:u w:val="none"/>
                <w:lang w:eastAsia="en-US"/>
              </w:rPr>
            </w:r>
            <w:r>
              <w:rPr>
                <w:rStyle w:val="1437"/>
                <w:color w:val="auto"/>
                <w:u w:val="none"/>
                <w:lang w:eastAsia="en-US"/>
              </w:rPr>
            </w:r>
            <w:r>
              <w:rPr>
                <w:rStyle w:val="1437"/>
                <w:color w:val="auto"/>
                <w:u w:val="none"/>
                <w:lang w:eastAsia="en-US"/>
              </w:rPr>
            </w:r>
          </w:p>
          <w:p>
            <w:pPr>
              <w:pStyle w:val="1488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ТЕХН" w:anchor="_ФОРМА_ТЕХН" w:history="1">
              <w:r>
                <w:rPr>
                  <w:rStyle w:val="1437"/>
                  <w:lang w:eastAsia="en-US"/>
                </w:rPr>
                <w:t xml:space="preserve">ТЕХНИЧЕСКОЕ ПРЕДЛОЖЕНИЕ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приведенными в настоящей докумен</w:t>
            </w:r>
            <w:r>
              <w:rPr>
                <w:lang w:eastAsia="en-US"/>
              </w:rPr>
              <w:t xml:space="preserve">тации о закупке (часть </w:t>
            </w:r>
            <w:hyperlink w:tooltip="#_III._ОБРАЗ" w:anchor="_III._ОБРАЗ" w:history="1">
              <w:r>
                <w:rPr>
                  <w:rStyle w:val="1437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8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</w:pPr>
            <w:r/>
            <w:hyperlink w:tooltip="#_ФОРМА_Письмо_о" w:anchor="_ФОРМА_Пись" w:history="1">
              <w:r>
                <w:rPr>
                  <w:rStyle w:val="1437"/>
                  <w:lang w:eastAsia="en-US"/>
                </w:rPr>
                <w:t xml:space="preserve">ПИСЬМО О ПОДАЧЕ ОФЕРТЫ</w:t>
              </w:r>
            </w:hyperlink>
            <w:r>
              <w:rPr>
                <w:rStyle w:val="1437"/>
                <w:color w:val="auto"/>
                <w:u w:val="none"/>
                <w:lang w:eastAsia="en-US"/>
              </w:rPr>
              <w:t xml:space="preserve"> по форме и в соответствии с инструкциями, приведенны</w:t>
            </w:r>
            <w:r>
              <w:rPr>
                <w:rStyle w:val="1437"/>
                <w:color w:val="auto"/>
                <w:u w:val="none"/>
                <w:lang w:eastAsia="en-US"/>
              </w:rPr>
              <w:t xml:space="preserve">ми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437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437"/>
                <w:color w:val="auto"/>
                <w:u w:val="none"/>
                <w:lang w:eastAsia="en-US"/>
              </w:rPr>
              <w:t xml:space="preserve">)</w:t>
            </w:r>
            <w:r>
              <w:t xml:space="preserve">;</w:t>
            </w:r>
            <w:r/>
          </w:p>
          <w:p>
            <w:pPr>
              <w:pStyle w:val="1488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(приказы, протоколы собрания учредителей о назначении руководителя и т.д.), подтверждающие полно</w:t>
            </w:r>
            <w:r>
              <w:rPr>
                <w:lang w:eastAsia="en-US"/>
              </w:rPr>
              <w:t xml:space="preserve">мочия лица, подписавшего Заявку, а также его право на заключение соответствующего Договора по результатам закупки. Если Заявка подписывается по доверенности, предоставляется такая доверенность и вышеуказанные документы на лицо, выдавшее доверенность;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8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Выпис</w:t>
            </w:r>
            <w:r>
              <w:rPr>
                <w:lang w:eastAsia="en-US"/>
              </w:rPr>
              <w:t xml:space="preserve">ка из Единого государственного реестра юридических лиц (ЕГРЮЛ) (либо выписка из Единого государственного реестра индивидуальных предпринимателей (ЕГРИП) для индивидуальных предпринимателей), выданная соответствующим подразделением Министерства Российской Ф</w:t>
            </w:r>
            <w:r>
              <w:rPr>
                <w:lang w:eastAsia="en-US"/>
              </w:rPr>
              <w:t xml:space="preserve">едерации по налогом и сборам </w:t>
            </w:r>
            <w:r>
              <w:rPr>
                <w:b/>
                <w:bCs/>
                <w:lang w:eastAsia="en-US"/>
              </w:rPr>
              <w:t xml:space="preserve">не ранее чем за 60 (шестьдесят) календарных дней до срока окончания приема Заявок</w:t>
            </w:r>
            <w:r>
              <w:rPr>
                <w:lang w:eastAsia="en-US"/>
              </w:rPr>
              <w:t xml:space="preserve">. Участник так же может предоставить  выписку из ЕГРЮЛ / ЕГРИП  подписанную усиленной квалифицированной электронной цифровой подписью налогового о</w:t>
            </w:r>
            <w:r>
              <w:rPr>
                <w:lang w:eastAsia="en-US"/>
              </w:rPr>
              <w:t xml:space="preserve">ргана, и сформированную, не ранее, чем за 60 (шестьдесят) календарных  дней до срока окончания приема Заявок, с использованием сервиса «Предоставление сведений из ЕГРЮЛ / ЕГРИП о конкретном юридическом лице/индивидуальном предпринимателе в форме электронно</w:t>
            </w:r>
            <w:r>
              <w:rPr>
                <w:lang w:eastAsia="en-US"/>
              </w:rPr>
              <w:t xml:space="preserve">го  документа», размещенного на официальном сайте ФНС России в сети Интернет по адресу </w:t>
            </w:r>
            <w:hyperlink r:id="rId51" w:tooltip="https://service.nalog.ru/vyp/" w:history="1">
              <w:r>
                <w:rPr>
                  <w:rStyle w:val="1437"/>
                  <w:lang w:eastAsia="en-US"/>
                </w:rPr>
                <w:t xml:space="preserve">https://service.nalog.ru/vyp/</w:t>
              </w:r>
            </w:hyperlink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8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Устав в действующей редакции со всеми изменениями и допол</w:t>
            </w:r>
            <w:r>
              <w:rPr>
                <w:lang w:eastAsia="en-US"/>
              </w:rPr>
              <w:t xml:space="preserve">нениями;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8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bCs/>
                <w:i/>
                <w:lang w:eastAsia="en-US"/>
              </w:rPr>
            </w:pPr>
            <w:r/>
            <w:hyperlink w:tooltip="#_ФОРМА_ПЛАН_РАСПРЕДЕЛЕНИЯ" w:anchor="_ФОРМА_План" w:history="1">
              <w:r>
                <w:rPr>
                  <w:rStyle w:val="1437"/>
                  <w:lang w:eastAsia="en-US"/>
                </w:rPr>
                <w:t xml:space="preserve">ПЛАН РАСПРЕДЕЛЕНИЯ ОБЪЕМОВ МЕЖДУ ЧЛЕНАМИ КОЛЛЕКТИВНОГО УЧАСТНИКА (КОНСОРЦИУМА, ПРОСТОГО ТОВАРИЩЕСТВА)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приведенными в настоящей документации о </w:t>
            </w:r>
            <w:r>
              <w:rPr>
                <w:lang w:eastAsia="en-US"/>
              </w:rPr>
              <w:t xml:space="preserve">закупке (часть </w:t>
            </w:r>
            <w:hyperlink w:tooltip="#_III._ОБРАЗ" w:anchor="_III._ОБРАЗ" w:history="1">
              <w:r>
                <w:rPr>
                  <w:rStyle w:val="1437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</w:t>
            </w:r>
            <w:r>
              <w:rPr>
                <w:i/>
                <w:lang w:eastAsia="en-US"/>
              </w:rPr>
              <w:t xml:space="preserve"> (Предоставляется в случае участия в закупке Коллективного участника, отсутствие указанного документа в составе заявки означает, что колле</w:t>
            </w:r>
            <w:r>
              <w:rPr>
                <w:i/>
                <w:lang w:eastAsia="en-US"/>
              </w:rPr>
              <w:t xml:space="preserve">ктивный участник не принимает участие в закупке);</w:t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  <w:p>
            <w:pPr>
              <w:pStyle w:val="1488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Анкета_участника" w:anchor="_ФОРМА_Анке" w:history="1">
              <w:r>
                <w:rPr>
                  <w:rStyle w:val="1437"/>
                  <w:lang w:eastAsia="en-US"/>
                </w:rPr>
                <w:t xml:space="preserve">АНКЕТА УЧАСТНИКА ЗАКУПКИ</w:t>
              </w:r>
            </w:hyperlink>
            <w:r>
              <w:rPr>
                <w:rStyle w:val="1437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437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8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bCs/>
                <w:i/>
                <w:lang w:eastAsia="en-US"/>
              </w:rPr>
            </w:pPr>
            <w:r>
              <w:rPr>
                <w:lang w:eastAsia="en-US"/>
              </w:rPr>
              <w:t xml:space="preserve">Сведения из Единого реестра субъектов малого и среднего предпринимательства, подтверждающие отнесение Участника к субъектам МСП, ведение которого осуществляется в соответствии с Федеральным законом 24</w:t>
            </w:r>
            <w:r>
              <w:rPr>
                <w:lang w:eastAsia="en-US"/>
              </w:rPr>
              <w:t xml:space="preserve">.07.2007 № 209-ФЗ «О развитии малого и среднего предпринимательства» </w:t>
            </w:r>
            <w:r>
              <w:rPr>
                <w:i/>
                <w:lang w:eastAsia="en-US"/>
              </w:rPr>
              <w:t xml:space="preserve">(предоставляется в случае, если Участник является субъектом малого или среднего предпринимательства);</w:t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  <w:p>
            <w:pPr>
              <w:pStyle w:val="1488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</w:pPr>
            <w:r>
              <w:rPr>
                <w:rFonts w:eastAsia="Calibri"/>
                <w:lang w:eastAsia="en-US"/>
              </w:rPr>
              <w:t xml:space="preserve">Справка об исполнении налогоплательщиком (плательщиком сбора, плательщиком страховых </w:t>
            </w:r>
            <w:r>
              <w:rPr>
                <w:rFonts w:eastAsia="Calibri"/>
                <w:lang w:eastAsia="en-US"/>
              </w:rPr>
              <w:t xml:space="preserve">взносов, налоговым агентом) обязанности по уплате налогов, сборов, страховых взносов, пеней, штрафов, процентов (</w:t>
            </w:r>
            <w:r>
              <w:rPr>
                <w:rFonts w:eastAsia="Calibri"/>
                <w:b/>
                <w:bCs/>
                <w:lang w:eastAsia="en-US"/>
              </w:rPr>
              <w:t xml:space="preserve">Форма по КНД 1120101</w:t>
            </w:r>
            <w:r>
              <w:rPr>
                <w:rFonts w:eastAsia="Calibri"/>
                <w:lang w:eastAsia="en-US"/>
              </w:rPr>
              <w:t xml:space="preserve">)</w:t>
            </w:r>
            <w:r>
              <w:rPr>
                <w:rFonts w:eastAsia="Calibri"/>
              </w:rPr>
              <w:t xml:space="preserve"> полученная </w:t>
            </w:r>
            <w:r>
              <w:rPr>
                <w:b/>
                <w:bCs/>
              </w:rPr>
              <w:t xml:space="preserve">не ранее чем за 60 (шестьдесят) дней до срока окончания подачи заявок</w:t>
            </w:r>
            <w:r>
              <w:rPr>
                <w:rFonts w:eastAsia="Calibri"/>
              </w:rPr>
              <w:t xml:space="preserve">*.</w:t>
            </w:r>
            <w:r/>
          </w:p>
          <w:p>
            <w:pPr>
              <w:pStyle w:val="1488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rFonts w:eastAsia="Calibri"/>
                <w:i/>
                <w:iCs/>
                <w:lang w:eastAsia="en-US"/>
              </w:rPr>
            </w:pPr>
            <w:r>
              <w:rPr>
                <w:rFonts w:eastAsia="Calibri"/>
                <w:i/>
                <w:iCs/>
                <w:lang w:eastAsia="en-US"/>
              </w:rPr>
              <w:t xml:space="preserve">*В случае наличия в предоставленной Сп</w:t>
            </w:r>
            <w:r>
              <w:rPr>
                <w:rFonts w:eastAsia="Calibri"/>
                <w:i/>
                <w:iCs/>
                <w:lang w:eastAsia="en-US"/>
              </w:rPr>
              <w:t xml:space="preserve">равке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(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Форма по КНД 1120101</w:t>
            </w:r>
            <w:r>
              <w:rPr>
                <w:rFonts w:eastAsia="Calibri"/>
                <w:i/>
                <w:iCs/>
                <w:lang w:eastAsia="en-US"/>
              </w:rPr>
              <w:t xml:space="preserve">) информации об имеющейся задолженности,</w:t>
            </w:r>
            <w:r>
              <w:rPr>
                <w:rFonts w:eastAsia="Calibri"/>
                <w:i/>
                <w:iCs/>
                <w:lang w:eastAsia="en-US"/>
              </w:rPr>
              <w:t xml:space="preserve"> участник в обязательном порядке должен предоставить справку о наличии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</w:t>
            </w:r>
            <w:r>
              <w:rPr>
                <w:rFonts w:eastAsia="Calibri"/>
                <w:i/>
                <w:iCs/>
                <w:lang w:eastAsia="en-US"/>
              </w:rPr>
              <w:t xml:space="preserve">го агента (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Форма по КНД </w:t>
            </w:r>
            <w:r>
              <w:rPr>
                <w:rFonts w:eastAsia="Calibri"/>
                <w:b/>
                <w:bCs/>
                <w:lang w:eastAsia="en-US"/>
              </w:rPr>
              <w:t xml:space="preserve">1160082</w:t>
            </w:r>
            <w:r>
              <w:rPr>
                <w:rFonts w:eastAsia="Calibri"/>
                <w:i/>
                <w:iCs/>
                <w:lang w:eastAsia="en-US"/>
              </w:rPr>
              <w:t xml:space="preserve">),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полученную не позднее чем за 60 (шестьдесят) дней до срока окончания подачи заявок</w:t>
            </w:r>
            <w:r>
              <w:rPr>
                <w:rFonts w:eastAsia="Calibri"/>
                <w:i/>
                <w:iCs/>
                <w:lang w:eastAsia="en-US"/>
              </w:rPr>
              <w:t xml:space="preserve">.</w:t>
            </w:r>
            <w:r>
              <w:rPr>
                <w:rFonts w:eastAsia="Calibri"/>
                <w:i/>
                <w:iCs/>
                <w:lang w:eastAsia="en-US"/>
              </w:rPr>
            </w:r>
            <w:r>
              <w:rPr>
                <w:rFonts w:eastAsia="Calibri"/>
                <w:i/>
                <w:iCs/>
                <w:lang w:eastAsia="en-US"/>
              </w:rPr>
            </w:r>
          </w:p>
          <w:p>
            <w:pPr>
              <w:pStyle w:val="1488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Вышеуказанные справки должны быть предоставлены одним из следующих форматов: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530"/>
              <w:numPr>
                <w:ilvl w:val="0"/>
                <w:numId w:val="38"/>
              </w:numPr>
              <w:ind w:left="0" w:firstLine="349"/>
              <w:jc w:val="both"/>
            </w:pPr>
            <w:r>
              <w:t xml:space="preserve">в форме электронного документа, подписанного усиленной квалиф</w:t>
            </w:r>
            <w:r>
              <w:t xml:space="preserve">ицированной электронной подписью налогового органа в порядке, установленном законодательством РФ.  При этом участник прикладывает архив, содержащий саму справку и файл, содержащий сведения о подписи;</w:t>
            </w:r>
            <w:r/>
          </w:p>
          <w:p>
            <w:pPr>
              <w:pStyle w:val="1530"/>
              <w:numPr>
                <w:ilvl w:val="0"/>
                <w:numId w:val="38"/>
              </w:numPr>
              <w:ind w:left="0" w:firstLine="349"/>
              <w:jc w:val="both"/>
            </w:pPr>
            <w:r>
              <w:t xml:space="preserve">в форме электронного документа, выгруженного через ЭДО с</w:t>
            </w:r>
            <w:r>
              <w:t xml:space="preserve"> нанесенными на него сведениями о цифровой подписи налогового органа и о цифровой подписи Участника;</w:t>
            </w:r>
            <w:r/>
          </w:p>
          <w:p>
            <w:pPr>
              <w:pStyle w:val="1530"/>
              <w:numPr>
                <w:ilvl w:val="0"/>
                <w:numId w:val="38"/>
              </w:numPr>
              <w:ind w:left="0" w:firstLine="349"/>
              <w:jc w:val="both"/>
            </w:pPr>
            <w:r>
              <w:t xml:space="preserve">в форме копии с круглой печатью соответствующего подразделения ФНС, выдавшего справку.</w:t>
            </w:r>
            <w:r/>
          </w:p>
          <w:p>
            <w:pPr>
              <w:pStyle w:val="1488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</w:pPr>
            <w:r>
              <w:t xml:space="preserve">Документы, подтверждающие финансовую устойчивость участника закупки:</w:t>
            </w:r>
            <w:r/>
          </w:p>
          <w:p>
            <w:pPr>
              <w:pStyle w:val="1488"/>
              <w:numPr>
                <w:ilvl w:val="0"/>
                <w:numId w:val="39"/>
              </w:numPr>
              <w:ind w:left="0" w:firstLine="283"/>
              <w:tabs>
                <w:tab w:val="left" w:pos="383" w:leader="none"/>
              </w:tabs>
            </w:pPr>
            <w:r>
              <w:rPr>
                <w:i/>
                <w:iCs/>
              </w:rPr>
              <w:t xml:space="preserve">Для обычной системы налогообложения</w:t>
            </w:r>
            <w:r>
              <w:t xml:space="preserve">:</w:t>
            </w:r>
            <w:r/>
          </w:p>
          <w:p>
            <w:pPr>
              <w:pStyle w:val="1488"/>
              <w:numPr>
                <w:ilvl w:val="0"/>
                <w:numId w:val="40"/>
              </w:numPr>
              <w:ind w:left="0" w:firstLine="349"/>
              <w:tabs>
                <w:tab w:val="left" w:pos="383" w:leader="none"/>
              </w:tabs>
            </w:pPr>
            <w:r>
              <w:t xml:space="preserve">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учете»;</w:t>
            </w:r>
            <w:r/>
          </w:p>
          <w:p>
            <w:pPr>
              <w:pStyle w:val="1488"/>
              <w:numPr>
                <w:ilvl w:val="0"/>
                <w:numId w:val="39"/>
              </w:numPr>
              <w:ind w:left="0" w:firstLine="283"/>
              <w:tabs>
                <w:tab w:val="left" w:pos="383" w:leader="none"/>
              </w:tabs>
            </w:pPr>
            <w:r>
              <w:rPr>
                <w:i/>
                <w:iCs/>
              </w:rPr>
              <w:t xml:space="preserve">Для упрощенной сис</w:t>
            </w:r>
            <w:r>
              <w:rPr>
                <w:i/>
                <w:iCs/>
              </w:rPr>
              <w:t xml:space="preserve">темы налогообложения</w:t>
            </w:r>
            <w:r>
              <w:t xml:space="preserve">:</w:t>
            </w:r>
            <w:r/>
          </w:p>
          <w:p>
            <w:pPr>
              <w:pStyle w:val="1488"/>
              <w:numPr>
                <w:ilvl w:val="0"/>
                <w:numId w:val="41"/>
              </w:numPr>
              <w:ind w:left="0" w:firstLine="349"/>
              <w:tabs>
                <w:tab w:val="left" w:pos="383" w:leader="none"/>
              </w:tabs>
            </w:pPr>
            <w:r>
              <w:t xml:space="preserve">копии Налоговой декларации по налогу, уплачиваемому в связи с применением упрощенной системы налогообложения за последний отчетный год;</w:t>
            </w:r>
            <w:r/>
          </w:p>
          <w:p>
            <w:pPr>
              <w:pStyle w:val="1488"/>
              <w:numPr>
                <w:ilvl w:val="0"/>
                <w:numId w:val="41"/>
              </w:numPr>
              <w:ind w:left="0" w:firstLine="349"/>
              <w:tabs>
                <w:tab w:val="left" w:pos="383" w:leader="none"/>
              </w:tabs>
            </w:pPr>
            <w:r>
              <w:t xml:space="preserve">заявление о переходе на упрощенную систему налогообложения.</w:t>
            </w:r>
            <w:r/>
          </w:p>
          <w:p>
            <w:pPr>
              <w:pStyle w:val="1488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rStyle w:val="1437"/>
                <w:color w:val="auto"/>
                <w:u w:val="none"/>
                <w:lang w:eastAsia="en-US"/>
              </w:rPr>
            </w:pPr>
            <w:r/>
            <w:hyperlink w:tooltip="#_ФОРМА_8._Декларация" w:anchor="_ФОРМА_Спра" w:history="1">
              <w:r>
                <w:rPr>
                  <w:rStyle w:val="1437"/>
                  <w:lang w:eastAsia="en-US"/>
                </w:rPr>
                <w:t xml:space="preserve">СПРАВКА О НАЛИЧИИ КОНФЛИКТА ИНТЕРЕСОВ И/ИЛИ СВЯЗЕЙ, НОСЯЩИХ ХАРАКТЕР АФФИЛИРОВАННОСТИ С СОТРУДНИКАМИ ЗАКАЗЧИКА ИЛИ ОРГАНИЗАТОРА ЗАКУПКИ</w:t>
              </w:r>
            </w:hyperlink>
            <w:r>
              <w:rPr>
                <w:rStyle w:val="1437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</w:t>
            </w:r>
            <w:r>
              <w:rPr>
                <w:lang w:eastAsia="en-US"/>
              </w:rPr>
              <w:t xml:space="preserve">ь </w:t>
            </w:r>
            <w:hyperlink w:tooltip="#_III._ОБРАЗ" w:anchor="_III._ОБРАЗ" w:history="1">
              <w:r>
                <w:rPr>
                  <w:rStyle w:val="1437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437"/>
                <w:color w:val="auto"/>
                <w:u w:val="none"/>
                <w:lang w:eastAsia="en-US"/>
              </w:rPr>
              <w:t xml:space="preserve">);</w:t>
            </w:r>
            <w:r>
              <w:rPr>
                <w:rStyle w:val="1437"/>
                <w:color w:val="auto"/>
                <w:u w:val="none"/>
                <w:lang w:eastAsia="en-US"/>
              </w:rPr>
            </w:r>
            <w:r>
              <w:rPr>
                <w:rStyle w:val="1437"/>
                <w:color w:val="auto"/>
                <w:u w:val="none"/>
                <w:lang w:eastAsia="en-US"/>
              </w:rPr>
            </w:r>
          </w:p>
          <w:p>
            <w:pPr>
              <w:pStyle w:val="1488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color w:val="000000" w:themeColor="text1"/>
              </w:rPr>
            </w:pPr>
            <w:r/>
            <w:hyperlink w:tooltip="#_ФОРМА_Справка_(информация)" w:anchor="_ФОРМА_Спра_1" w:history="1">
              <w:r>
                <w:rPr>
                  <w:rStyle w:val="1437"/>
                  <w:lang w:eastAsia="en-US"/>
                </w:rPr>
                <w:t xml:space="preserve">СПРАВКА (ИНФОРМАЦИЯ) О СОБСТВЕННИКАХ УЧАСТНИКА ЗАКУПКИ (ВКЛЮЧАЯ КОНЕЧНЫХ БЕНЕФИЦИА</w:t>
              </w:r>
              <w:r>
                <w:rPr>
                  <w:rStyle w:val="1437"/>
                  <w:lang w:eastAsia="en-US"/>
                </w:rPr>
                <w:t xml:space="preserve">РОВ)</w:t>
              </w:r>
            </w:hyperlink>
            <w:r>
              <w:rPr>
                <w:lang w:eastAsia="en-US"/>
              </w:rPr>
              <w:t xml:space="preserve"> </w:t>
            </w:r>
            <w:r>
              <w:rPr>
                <w:rStyle w:val="1437"/>
                <w:color w:val="auto"/>
                <w:u w:val="none"/>
                <w:lang w:eastAsia="en-US"/>
              </w:rPr>
              <w:t xml:space="preserve">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437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437"/>
                <w:color w:val="auto"/>
                <w:u w:val="none"/>
                <w:lang w:eastAsia="en-US"/>
              </w:rPr>
              <w:t xml:space="preserve">);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488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color w:val="000000" w:themeColor="text1"/>
              </w:rPr>
            </w:pPr>
            <w:r/>
            <w:hyperlink w:tooltip="#_ФОРМА_Согласие_на" w:anchor="_ФОРМА_Согл" w:history="1">
              <w:r>
                <w:rPr>
                  <w:rStyle w:val="1437"/>
                  <w:lang w:eastAsia="en-US"/>
                </w:rPr>
                <w:t xml:space="preserve">СОГЛАСИЕ НА ОБРАБОТКУ ПЕ</w:t>
              </w:r>
              <w:r>
                <w:rPr>
                  <w:rStyle w:val="1437"/>
                  <w:lang w:eastAsia="en-US"/>
                </w:rPr>
                <w:t xml:space="preserve">РСОНАЛЬНЫХ ДАННЫХ ОТ СОБСТВЕННИКОВ УЧАСТНИКА (ВКЛЮЧАЯ КОНЕЧНЫХ БЕНЕФИЦИАРОВ)</w:t>
              </w:r>
            </w:hyperlink>
            <w:r>
              <w:rPr>
                <w:rStyle w:val="1437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437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437"/>
                <w:color w:val="auto"/>
                <w:u w:val="none"/>
                <w:lang w:eastAsia="en-US"/>
              </w:rPr>
              <w:t xml:space="preserve">);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488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rStyle w:val="1437"/>
                <w:color w:val="auto"/>
                <w:u w:val="none"/>
                <w:lang w:eastAsia="en-US"/>
              </w:rPr>
            </w:pPr>
            <w:r/>
            <w:hyperlink w:tooltip="#_ФОРМА_Антикоррупционные_обязательст" w:anchor="_ФОРМА_Анти" w:history="1">
              <w:r>
                <w:rPr>
                  <w:rStyle w:val="1437"/>
                  <w:lang w:eastAsia="en-US"/>
                </w:rPr>
                <w:t xml:space="preserve">АНТИКОРРУПЦИОННЫЕ ОБЯЗАТЕЛЬСТВА</w:t>
              </w:r>
            </w:hyperlink>
            <w:r>
              <w:rPr>
                <w:rStyle w:val="1437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437"/>
                  <w:lang w:eastAsia="en-US"/>
                </w:rPr>
                <w:t xml:space="preserve">III «ОБРАЗЦЫ ФОРМ ДЛЯ ЗАПОЛНЕНИЯ УЧАСТНИКАМ</w:t>
              </w:r>
              <w:r>
                <w:rPr>
                  <w:rStyle w:val="1437"/>
                  <w:lang w:eastAsia="en-US"/>
                </w:rPr>
                <w:t xml:space="preserve">И ЗАКУПКИ»</w:t>
              </w:r>
            </w:hyperlink>
            <w:r>
              <w:rPr>
                <w:rStyle w:val="1437"/>
                <w:color w:val="auto"/>
                <w:u w:val="none"/>
                <w:lang w:eastAsia="en-US"/>
              </w:rPr>
              <w:t xml:space="preserve">);</w:t>
            </w:r>
            <w:r>
              <w:rPr>
                <w:rStyle w:val="1437"/>
                <w:color w:val="auto"/>
                <w:u w:val="none"/>
                <w:lang w:eastAsia="en-US"/>
              </w:rPr>
            </w:r>
            <w:r>
              <w:rPr>
                <w:rStyle w:val="1437"/>
                <w:color w:val="auto"/>
                <w:u w:val="none"/>
                <w:lang w:eastAsia="en-US"/>
              </w:rPr>
            </w:r>
          </w:p>
          <w:p>
            <w:pPr>
              <w:pStyle w:val="1488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и сведения, подтверждающие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 указ</w:t>
            </w:r>
            <w:r>
              <w:rPr>
                <w:lang w:eastAsia="en-US"/>
              </w:rPr>
              <w:t xml:space="preserve">анные в пункте </w:t>
            </w:r>
            <w:hyperlink w:tooltip="#_Документы,_подтверждающие_соответст" w:anchor="_Документы," w:history="1">
              <w:r>
                <w:rPr>
                  <w:rStyle w:val="1437"/>
                  <w:lang w:eastAsia="en-US"/>
                </w:rPr>
                <w:t xml:space="preserve">18 части II «ИНФОРМАЦИОННАЯ КАРТА ЗАКУПКИ»</w:t>
              </w:r>
            </w:hyperlink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8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и сведения, подтверждающие соответствие иным отборочным критериям установленным в соответствии с   Приложением 1 </w:t>
            </w:r>
            <w:r>
              <w:rPr>
                <w:lang w:eastAsia="en-US"/>
              </w:rPr>
              <w:t xml:space="preserve">к «Типовым требованиям к участникам закупок, критериям и порядку оценки  заявок участников закупок» Единого стандарта ПАО «Россети» указанные в пункте </w:t>
            </w:r>
            <w:hyperlink w:tooltip="#_Документы_и_сведения," w:anchor="_Документы_" w:history="1">
              <w:r>
                <w:rPr>
                  <w:rStyle w:val="1437"/>
                </w:rPr>
                <w:t xml:space="preserve">19 части II «ИНФОРМАЦИОННАЯ КАРТА ЗАКУПКИ»</w:t>
              </w:r>
            </w:hyperlink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8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</w:t>
            </w:r>
            <w:r>
              <w:rPr>
                <w:lang w:eastAsia="en-US"/>
              </w:rPr>
              <w:t xml:space="preserve">окументы и сведения, необходимые для оценки заявки по неценовым критериям указанные в пункте </w:t>
            </w:r>
            <w:hyperlink w:tooltip="#_Документы_и_сведения,_1" w:anchor="_Документы__1" w:history="1">
              <w:r>
                <w:rPr>
                  <w:rStyle w:val="1437"/>
                  <w:lang w:eastAsia="en-US"/>
                </w:rPr>
                <w:t xml:space="preserve">20 части II «ИНФОРМАЦИОННАЯ КАРТА ЗАКУПКИ»</w:t>
              </w:r>
            </w:hyperlink>
            <w:r>
              <w:rPr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(непредставление указанных документов и сведений не явля</w:t>
            </w:r>
            <w:r>
              <w:rPr>
                <w:i/>
                <w:lang w:eastAsia="en-US"/>
              </w:rPr>
              <w:t xml:space="preserve">ется основанием для отклонения заявки)</w:t>
            </w:r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8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случае участия в закупке коллективного участника, заявка также должна содержать документы и сведения, предусмотренные пунктами </w:t>
            </w:r>
            <w:hyperlink w:tooltip="#_В_случае,_если" w:anchor="_3.4.5._В_с" w:history="1">
              <w:r>
                <w:rPr>
                  <w:rStyle w:val="1437"/>
                  <w:lang w:eastAsia="en-US"/>
                </w:rPr>
                <w:t xml:space="preserve">3.4.5</w:t>
              </w:r>
            </w:hyperlink>
            <w:r>
              <w:rPr>
                <w:lang w:eastAsia="en-US"/>
              </w:rPr>
              <w:t xml:space="preserve">, </w:t>
            </w:r>
            <w:hyperlink w:tooltip="#_В_случае,_если_1" w:anchor="_3.4.6._В_с" w:history="1">
              <w:r>
                <w:rPr>
                  <w:rStyle w:val="1437"/>
                  <w:lang w:eastAsia="en-US"/>
                </w:rPr>
                <w:t xml:space="preserve">3.4.6</w:t>
              </w:r>
            </w:hyperlink>
            <w:r>
              <w:rPr>
                <w:rStyle w:val="1437"/>
                <w:u w:val="none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настоящей документации о закупке;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8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Платежное поручение, подтверждающие факт перечисления денежных средств, внесенных на счет Заказчика в качестве обеспечения заявки на участие в закупке </w:t>
            </w:r>
            <w:r>
              <w:rPr>
                <w:bCs/>
                <w:i/>
                <w:lang w:eastAsia="en-US"/>
              </w:rPr>
              <w:t xml:space="preserve">(предоставля</w:t>
            </w:r>
            <w:r>
              <w:rPr>
                <w:bCs/>
                <w:i/>
                <w:lang w:eastAsia="en-US"/>
              </w:rPr>
              <w:t xml:space="preserve">ется в случае выбора Участником закупки обеспечения заявки в форме внесения денежных средств на счёт Заказчика)</w:t>
            </w:r>
            <w:r>
              <w:rPr>
                <w:bCs/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8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Независимая гарантия по обеспечению заявки на участие в закупке в соответствии с частью </w:t>
            </w:r>
            <w:hyperlink w:tooltip="#_Типовые_формы_независимых" w:anchor="_VII._ТИПОВ" w:history="1">
              <w:r>
                <w:rPr>
                  <w:rStyle w:val="1437"/>
                  <w:lang w:eastAsia="en-US"/>
                </w:rPr>
                <w:t xml:space="preserve">VII «ТИПОВЫЕ ФОРМЫ НЕЗАВИСИМЫХ ГАРАНТИЙ»</w:t>
              </w:r>
            </w:hyperlink>
            <w:r>
              <w:rPr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(предоставляется в случае выбора Участником закупки обеспечения заявки в форме независимой гарантии)</w:t>
            </w:r>
            <w:r>
              <w:rPr>
                <w:lang w:eastAsia="en-US"/>
              </w:rPr>
              <w:t xml:space="preserve">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highlight w:val="none"/>
              </w:rPr>
            </w:r>
            <w:bookmarkStart w:id="144" w:name="_Документы,"/>
            <w:r>
              <w:rPr>
                <w:highlight w:val="none"/>
              </w:rPr>
            </w:r>
            <w:bookmarkStart w:id="145" w:name="_Соответствие_требованиям,_установле"/>
            <w:r>
              <w:rPr>
                <w:highlight w:val="none"/>
              </w:rPr>
            </w:r>
            <w:bookmarkEnd w:id="144"/>
            <w:r>
              <w:rPr>
                <w:highlight w:val="none"/>
              </w:rPr>
            </w:r>
            <w:bookmarkEnd w:id="145"/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  <w:t xml:space="preserve">Документы, подтверждающие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закупки, а именно</w:t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488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highlight w:val="none"/>
              </w:rPr>
            </w:pPr>
            <w:r>
              <w:rPr>
                <w:highlight w:val="none"/>
                <w:shd w:val="clear" w:color="ddebf6" w:themeColor="accent1" w:themeTint="33" w:fill="ddebf6" w:themeFill="accent1" w:themeFillTint="33"/>
                <w:lang w:eastAsia="en-US"/>
              </w:rPr>
              <w:t xml:space="preserve">Не требуются</w:t>
            </w:r>
            <w:r>
              <w:rPr>
                <w:highlight w:val="none"/>
                <w:shd w:val="clear" w:color="ddebf6" w:themeColor="accent1" w:themeTint="33" w:fill="ddebf6" w:themeFill="accent1" w:themeFillTint="33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488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6" w:name="_Документы_"/>
            <w:r/>
            <w:bookmarkStart w:id="147" w:name="_Документы_и_сведения,"/>
            <w:r/>
            <w:bookmarkEnd w:id="146"/>
            <w:r/>
            <w:bookmarkEnd w:id="147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Документы и сведения, подтверждающие соответствие иным отборочным критериям установленным в соответствии с   Приложением 1 к «Типовым требованиям к участникам закупок, критериям и порядку оценки  заявок участников закупок» Един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ого стандарта ПАО «Россети»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488"/>
              <w:numPr>
                <w:ilvl w:val="0"/>
                <w:numId w:val="94"/>
              </w:numPr>
              <w:ind w:left="0" w:firstLine="283"/>
              <w:tabs>
                <w:tab w:val="left" w:pos="383" w:leader="none"/>
              </w:tabs>
            </w:pPr>
            <w:r/>
            <w:hyperlink w:tooltip="#_ФОРМА_Спра_2" w:anchor="_ФОРМА_Спра_2" w:history="1">
              <w:r>
                <w:rPr>
                  <w:rStyle w:val="1437"/>
                </w:rPr>
                <w:t xml:space="preserve">СПРАВКА О ПЕРЕЧНЕ И ОБЪЕМАХ ИСПОЛНЕНИЯ АНАЛОГИЧНЫХ ДОГОВОРОВ ЗА 3 (ТРИ) ПОСЛЕДНИЕ ГОДА</w:t>
              </w:r>
            </w:hyperlink>
            <w:r>
              <w:t xml:space="preserve">, </w:t>
            </w:r>
            <w:r>
              <w:rPr>
                <w:lang w:eastAsia="en-US"/>
              </w:rPr>
              <w:t xml:space="preserve">по форме, установленной в настоящей документации о закупке (часть </w:t>
            </w:r>
            <w:hyperlink w:tooltip="#_III._ОБРАЗ" w:anchor="_III._ОБРАЗ" w:history="1">
              <w:r>
                <w:rPr>
                  <w:rStyle w:val="1437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</w:t>
            </w:r>
            <w:r>
              <w:t xml:space="preserve">;</w:t>
            </w:r>
            <w:r/>
          </w:p>
          <w:p>
            <w:pPr>
              <w:pStyle w:val="1488"/>
              <w:numPr>
                <w:ilvl w:val="0"/>
                <w:numId w:val="94"/>
              </w:numPr>
              <w:ind w:left="0" w:firstLine="283"/>
              <w:tabs>
                <w:tab w:val="left" w:pos="383" w:leader="none"/>
              </w:tabs>
            </w:pPr>
            <w:r>
              <w:t xml:space="preserve">копии исполненных аналогичных договоров, включающих все приложения к таким договорам, все дополнительные соглашения к ним.</w:t>
            </w:r>
            <w:r/>
          </w:p>
          <w:p>
            <w:pPr>
              <w:pStyle w:val="1488"/>
              <w:numPr>
                <w:ilvl w:val="0"/>
                <w:numId w:val="94"/>
              </w:numPr>
              <w:ind w:left="0" w:firstLine="283"/>
              <w:tabs>
                <w:tab w:val="left" w:pos="383" w:leader="none"/>
              </w:tabs>
              <w:rPr>
                <w:lang w:eastAsia="en-US"/>
              </w:rPr>
            </w:pPr>
            <w:r>
              <w:t xml:space="preserve">копия последней «Справки о ст</w:t>
            </w:r>
            <w:r>
              <w:t xml:space="preserve">оимости выполненных работ и затрат» по форме КС-3 (в случае если в соответствии с условиями договора такая форма предусмотрена);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/>
              <w:rPr>
                <w:b/>
                <w:color w:val="1f497d"/>
              </w:rPr>
            </w:pPr>
            <w:r>
              <w:rPr>
                <w:b/>
              </w:rPr>
              <w:t xml:space="preserve">или</w:t>
            </w:r>
            <w:r>
              <w:rPr>
                <w:b/>
                <w:color w:val="1f497d"/>
              </w:rPr>
            </w:r>
            <w:r>
              <w:rPr>
                <w:b/>
                <w:color w:val="1f497d"/>
              </w:rPr>
            </w:r>
          </w:p>
          <w:p>
            <w:pPr>
              <w:pStyle w:val="1546"/>
              <w:ind w:firstLine="1276"/>
              <w:jc w:val="both"/>
              <w:tabs>
                <w:tab w:val="left" w:pos="459" w:leader="none"/>
                <w:tab w:val="left" w:pos="1985" w:leader="none"/>
              </w:tabs>
            </w:pPr>
            <w:r>
              <w:t xml:space="preserve">копии «Актов о приемке выполненных работ» (форма КС-2 или иная форма в соответствии с условиями договора), содержащих все обязательные реквизиты, установленные частью 2 статьи 9 Федерального закона «О бухгалтерском учете» от 06.12.2011 № 402-ФЗ.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9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8" w:name="_Документы__1"/>
            <w:r/>
            <w:bookmarkStart w:id="149" w:name="_Документы_и_сведения,_1"/>
            <w:r/>
            <w:bookmarkEnd w:id="148"/>
            <w:r/>
            <w:bookmarkEnd w:id="149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Документы и сведения, необходимые для оценки заявки по неценовым критериям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488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Перечень документов, необходимых для оценки заявок указан в </w:t>
            </w:r>
            <w:hyperlink w:tooltip="#_Приложение_№_1" w:anchor="_Приложение_№_1" w:history="1">
              <w:r>
                <w:rPr>
                  <w:rStyle w:val="1437"/>
                  <w:lang w:eastAsia="en-US"/>
                </w:rPr>
                <w:t xml:space="preserve">Приложении № 1 к части II «ИНФОРМАЦИОННАЯ КАРТА ЗАКУПКИ»</w:t>
              </w:r>
            </w:hyperlink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9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50" w:name="_Размер_обеспечения_исполнения"/>
            <w:r/>
            <w:bookmarkStart w:id="151" w:name="Par67"/>
            <w:r/>
            <w:bookmarkEnd w:id="150"/>
            <w:r>
              <w:rPr>
                <w:rFonts w:ascii="Times New Roman" w:hAnsi="Times New Roman" w:cs="Times New Roman"/>
                <w:b w:val="0"/>
                <w:bCs w:val="0"/>
              </w:rPr>
              <w:t xml:space="preserve">Размер обеспечения исполнения договора, срок и порядок его предоставления</w:t>
            </w:r>
            <w:bookmarkEnd w:id="151"/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i w:val="0"/>
                <w:iCs w:val="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Исполнение обязательств Подрядчика по исполнению работ по Договору обеспечивается одним из способов обеспечения: </w:t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i w:val="0"/>
                <w:iCs w:val="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- Независимой гарантией на исполнение обязательств в размере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highlight w:val="none"/>
                <w:shd w:val="clear" w:color="ddebf6" w:themeColor="accent1" w:themeTint="33" w:fill="ddebf6" w:themeFill="accent1" w:themeFillTint="33"/>
              </w:rPr>
              <w:t xml:space="preserve">5%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от начальной (максимальной) цены Договора (цены лота), но не менее 5% от цены Договора;</w:t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i w:val="0"/>
                <w:iCs w:val="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- Гарантийным депозитом в размере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highlight w:val="none"/>
                <w:shd w:val="clear" w:color="ddebf6" w:themeColor="accent1" w:themeTint="33" w:fill="ddebf6" w:themeFill="accent1" w:themeFillTint="33"/>
              </w:rPr>
              <w:t xml:space="preserve">10%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от цены договора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(не применяется для МCП)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</w:r>
          </w:p>
          <w:p>
            <w:pPr>
              <w:contextualSpacing/>
              <w:jc w:val="both"/>
              <w:spacing w:after="0" w:line="240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- Обеспечительным платежом в размере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highlight w:val="none"/>
                <w:shd w:val="clear" w:color="ddebf6" w:themeColor="accent1" w:themeTint="33" w:fill="ddebf6" w:themeFill="accent1" w:themeFillTint="33"/>
              </w:rPr>
              <w:t xml:space="preserve"> 3%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от начальной (максимальной) цены Договора (цены лота)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Срок предоставления обеспечения исполнения договора: в соответствии с требованиями, установленными в части </w:t>
            </w:r>
            <w:hyperlink w:tooltip="#_IV._ПРОЕКТ" w:anchor="_IV._ПРОЕКТ" w:history="1">
              <w:r>
                <w:rPr>
                  <w:rStyle w:val="1437"/>
                  <w:highlight w:val="none"/>
                </w:rPr>
                <w:t xml:space="preserve">IV «ПРОЕКТ ДОГОВОРА»</w:t>
              </w:r>
            </w:hyperlink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iCs/>
                <w:highlight w:val="none"/>
              </w:rPr>
              <w:t xml:space="preserve">Порядок внесения денежных средств и </w:t>
            </w:r>
            <w:r>
              <w:rPr>
                <w:highlight w:val="none"/>
              </w:rPr>
              <w:t xml:space="preserve">условия независимой гарантии установлены в разделе </w:t>
            </w:r>
            <w:hyperlink w:tooltip="#_Обеспечения_исполнения_договора," w:anchor="_ЗАКЛЮЧЕНИЕ,_ИЗМЕНЕНИЕ_И" w:history="1">
              <w:r>
                <w:rPr>
                  <w:rStyle w:val="1437"/>
                  <w:highlight w:val="none"/>
                </w:rPr>
                <w:t xml:space="preserve">6 части I «ОБЩИЕ УСЛОВИЯ ПРОВЕДЕНИЯ ЗАКУПКИ».</w:t>
              </w:r>
            </w:hyperlink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В случае принятия участником закупки решения о предоставлении обеспечения исполнения обязательств по договору в форме денежных средств, такие средства перечисляются на расчетный счет Заказчика, по реквизитам, указанным в части </w:t>
            </w:r>
            <w:hyperlink w:tooltip="#_ФОРМА_15._Справка" w:anchor="_IV._ПРОЕКТ" w:history="1">
              <w:r>
                <w:rPr>
                  <w:rStyle w:val="1437"/>
                  <w:highlight w:val="none"/>
                </w:rPr>
                <w:t xml:space="preserve">IV «ПРОЕКТ ДОГОВОРА»</w:t>
              </w:r>
            </w:hyperlink>
            <w:r>
              <w:rPr>
                <w:rStyle w:val="1437"/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9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Критерии и порядок оценки и сопоставления заявок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на участие в закупке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hyperlink w:tooltip="#_Приложение_№_1" w:anchor="_Приложение" w:history="1">
              <w:r>
                <w:rPr>
                  <w:rStyle w:val="1437"/>
                  <w:lang w:eastAsia="en-US"/>
                </w:rPr>
                <w:t xml:space="preserve">Приложении № 1 к части II «ИНФОРМАЦИОННАЯ КАРТА ЗАКУПКИ»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9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52" w:name="_Право_зака"/>
            <w:r/>
            <w:bookmarkStart w:id="153" w:name="_Право_заказчика_заключить"/>
            <w:r/>
            <w:bookmarkEnd w:id="152"/>
            <w:r/>
            <w:bookmarkEnd w:id="153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Право заказчика заключить договор с несколькими участниками закупки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0"/>
              <w:numPr>
                <w:ilvl w:val="0"/>
                <w:numId w:val="9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о возможности одностороннего отказа от исполнения обязательств, предусмотренных договором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</w:tbl>
    <w:p>
      <w:pPr>
        <w:pStyle w:val="1219"/>
        <w:jc w:val="right"/>
        <w:rPr>
          <w:rFonts w:ascii="Times New Roman" w:hAnsi="Times New Roman" w:cs="Times New Roman"/>
        </w:r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19"/>
        <w:jc w:val="right"/>
        <w:rPr>
          <w:b w:val="0"/>
        </w:rPr>
      </w:pPr>
      <w:r/>
      <w:bookmarkStart w:id="154" w:name="_Приложение"/>
      <w:r/>
      <w:bookmarkStart w:id="155" w:name="_Приложение_№_1"/>
      <w:r/>
      <w:bookmarkEnd w:id="154"/>
      <w:r/>
      <w:bookmarkEnd w:id="155"/>
      <w:r>
        <w:rPr>
          <w:rFonts w:ascii="Times New Roman" w:hAnsi="Times New Roman" w:cs="Times New Roman"/>
        </w:rPr>
        <w:t xml:space="preserve">Приложение № 1 к части II «ИНФОРМАЦИОННАЯ КАРТА ЗАКУПКИ»</w:t>
      </w:r>
      <w:r>
        <w:rPr>
          <w:b w:val="0"/>
        </w:rPr>
        <w:t xml:space="preserve"> </w:t>
      </w:r>
      <w:r>
        <w:rPr>
          <w:b w:val="0"/>
        </w:rPr>
      </w:r>
      <w:r>
        <w:rPr>
          <w:b w:val="0"/>
        </w:rPr>
      </w:r>
    </w:p>
    <w:p>
      <w:pPr>
        <w:contextualSpacing/>
        <w:ind w:firstLine="200"/>
        <w:keepLines/>
        <w:spacing w:before="120" w:after="120"/>
      </w:pPr>
      <w:r/>
      <w:r/>
    </w:p>
    <w:p>
      <w:pPr>
        <w:pStyle w:val="1530"/>
        <w:numPr>
          <w:ilvl w:val="0"/>
          <w:numId w:val="7"/>
        </w:numPr>
        <w:contextualSpacing/>
        <w:ind w:left="0" w:right="-28" w:firstLine="567"/>
        <w:jc w:val="both"/>
        <w:keepLines/>
        <w:spacing w:before="120" w:after="120"/>
        <w:tabs>
          <w:tab w:val="left" w:pos="567" w:leader="none"/>
        </w:tabs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14740" w:type="dxa"/>
        <w:tblInd w:w="-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7"/>
        <w:gridCol w:w="2614"/>
        <w:gridCol w:w="1701"/>
        <w:gridCol w:w="1779"/>
        <w:gridCol w:w="8079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1504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 п/п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14" w:type="dxa"/>
            <w:vAlign w:val="center"/>
            <w:textDirection w:val="lrTb"/>
            <w:noWrap w:val="false"/>
          </w:tcPr>
          <w:p>
            <w:pPr>
              <w:pStyle w:val="1504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Критерии (подкритерии) оценки заявки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504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Весовое з</w:t>
            </w:r>
            <w:r>
              <w:rPr>
                <w:rFonts w:ascii="Times New Roman" w:hAnsi="Times New Roman" w:cs="Times New Roman"/>
                <w:b/>
              </w:rPr>
              <w:t xml:space="preserve">начение критерия (V)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779" w:type="dxa"/>
            <w:vAlign w:val="center"/>
            <w:textDirection w:val="lrTb"/>
            <w:noWrap w:val="false"/>
          </w:tcPr>
          <w:p>
            <w:pPr>
              <w:pStyle w:val="1504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Максимальный выставляемый балл (без учета весового коэффициента)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8079" w:type="dxa"/>
            <w:vAlign w:val="center"/>
            <w:textDirection w:val="lrTb"/>
            <w:noWrap w:val="false"/>
          </w:tcPr>
          <w:p>
            <w:pPr>
              <w:pStyle w:val="1504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Порядок оценки по критерию, в том числе с указанием необходимых подтверждающих сведений и документов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1504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14" w:type="dxa"/>
            <w:vAlign w:val="center"/>
            <w:textDirection w:val="lrTb"/>
            <w:noWrap w:val="false"/>
          </w:tcPr>
          <w:p>
            <w:pPr>
              <w:pStyle w:val="1504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504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«Цена договора»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50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0 %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1779" w:type="dxa"/>
            <w:vAlign w:val="center"/>
            <w:textDirection w:val="lrTb"/>
            <w:noWrap w:val="false"/>
          </w:tcPr>
          <w:p>
            <w:pPr>
              <w:pStyle w:val="1504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При оценке Заявок по критерию</w:t>
            </w:r>
            <w:r>
              <w:rPr>
                <w:b/>
              </w:rPr>
              <w:t xml:space="preserve"> «Цена договора»</w:t>
            </w:r>
            <w:r>
              <w:t xml:space="preserve"> лучшей признается Заявка с наименьшей </w:t>
            </w:r>
            <w:r>
              <w:rPr>
                <w:b/>
                <w:color w:val="000000" w:themeColor="text1"/>
              </w:rPr>
              <w:t xml:space="preserve">условной</w:t>
            </w:r>
            <w:r>
              <w:rPr>
                <w:color w:val="000000" w:themeColor="text1"/>
              </w:rPr>
              <w:t xml:space="preserve"> </w:t>
            </w:r>
            <w:r>
              <w:t xml:space="preserve">ценой заявки.</w:t>
            </w:r>
            <w:r/>
          </w:p>
          <w:p>
            <w:pPr>
              <w:spacing w:after="0"/>
              <w:widowControl w:val="off"/>
            </w:pPr>
            <w:r>
              <w:t xml:space="preserve">Рейтинг ЦБ</w:t>
            </w:r>
            <w:r>
              <w:rPr>
                <w:vertAlign w:val="subscript"/>
                <w:lang w:val="fr-FR"/>
              </w:rPr>
              <w:t xml:space="preserve">i</w:t>
            </w:r>
            <w:r>
              <w:rPr>
                <w:vertAlign w:val="subscript"/>
              </w:rPr>
              <w:t xml:space="preserve"> </w:t>
            </w:r>
            <w:r>
              <w:t xml:space="preserve">определяется в баллах по следующей формуле:</w:t>
            </w:r>
            <w:r/>
          </w:p>
          <w:p>
            <w:pPr>
              <w:spacing w:after="0"/>
              <w:widowControl w:val="off"/>
            </w:pPr>
            <w:r/>
            <w:r/>
          </w:p>
          <w:p>
            <w:pPr>
              <w:spacing w:after="0"/>
              <w:widowControl w:val="off"/>
            </w:pPr>
            <w:r/>
            <m:oMathPara>
              <m:oMathParaPr/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eastAsia="Cambria Math" w:cs="Cambria Math"/>
                      </w:rPr>
                      <m:rPr/>
                      <m:t>ЦБ</m:t>
                    </m:r>
                  </m:e>
                  <m:sub>
                    <m:r>
                      <w:rPr>
                        <w:rFonts w:ascii="Cambria Math" w:hAnsi="Cambria Math" w:eastAsia="Cambria Math" w:cs="Cambria Math"/>
                      </w:rPr>
                      <m:rPr/>
                      <m:t>i</m:t>
                    </m:r>
                  </m:sub>
                </m:sSub>
                <m:r>
                  <w:rPr>
                    <w:rFonts w:ascii="Cambria Math" w:hAnsi="Cambria Math" w:eastAsia="Cambria Math" w:cs="Cambria Math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ascii="Cambria Math" w:hAnsi="Cambria Math" w:eastAsia="Cambria Math" w:cs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eastAsia="Cambria Math" w:cs="Cambria Math"/>
                          </w:rPr>
                          <m:rPr/>
                          <m:t>Ц</m:t>
                        </m:r>
                      </m:e>
                      <m:sub>
                        <m:r>
                          <w:rPr>
                            <w:rFonts w:ascii="Cambria Math" w:hAnsi="Cambria Math" w:eastAsia="Cambria Math" w:cs="Cambria Math"/>
                          </w:rPr>
                          <m:rPr>
                            <m:sty m:val="p"/>
                          </m:rPr>
                          <m:t>min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eastAsia="Cambria Math" w:cs="Cambria Math"/>
                      </w:rPr>
                      <m:rPr/>
                      <m:t>Ц</m:t>
                    </m:r>
                    <m:r>
                      <w:rPr>
                        <w:rFonts w:ascii="Cambria Math" w:hAnsi="Cambria Math" w:eastAsia="Cambria Math" w:cs="Cambria Math"/>
                      </w:rPr>
                      <m:rPr/>
                      <m:t>i</m:t>
                    </m:r>
                  </m:den>
                </m:f>
                <m:r>
                  <w:rPr>
                    <w:rFonts w:ascii="Cambria Math" w:hAnsi="Cambria Math" w:eastAsia="Cambria Math" w:cs="Cambria Math"/>
                  </w:rPr>
                  <m:rPr>
                    <m:sty m:val="p"/>
                  </m:rPr>
                  <m:t>×100</m:t>
                </m:r>
                <m:r>
                  <w:rPr>
                    <w:rFonts w:ascii="Cambria Math" w:hAnsi="Cambria Math" w:eastAsia="Cambria Math" w:cs="Cambria Math"/>
                  </w:rPr>
                  <m:rPr/>
                  <m:t>;</m:t>
                </m:r>
              </m:oMath>
            </m:oMathPara>
            <w:r/>
            <w:r/>
          </w:p>
          <w:p>
            <w:pPr>
              <w:jc w:val="left"/>
              <w:spacing w:after="0"/>
              <w:widowControl w:val="off"/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spacing w:after="0"/>
              <w:widowControl w:val="off"/>
              <w:rPr>
                <w:i/>
              </w:rPr>
            </w:pPr>
            <w:r>
              <w:t xml:space="preserve">где: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  <w:widowControl w:val="off"/>
              <w:rPr>
                <w:highlight w:val="yellow"/>
              </w:rPr>
            </w:pPr>
            <w:r>
              <w:rPr>
                <w:b/>
                <w:bCs/>
              </w:rPr>
              <w:t xml:space="preserve">ЦБ</w:t>
            </w:r>
            <w:r>
              <w:rPr>
                <w:b/>
                <w:bCs/>
                <w:vertAlign w:val="subscript"/>
                <w:lang w:val="en-US"/>
              </w:rPr>
              <w:t xml:space="preserve">i</w:t>
            </w:r>
            <w:r>
              <w:t xml:space="preserve"> – оценка (рейтинг) i-й заявки по критерию «Цена договора»;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spacing w:after="0"/>
              <w:widowControl w:val="off"/>
            </w:pPr>
            <w:r>
              <w:rPr>
                <w:b/>
                <w:bCs/>
              </w:rPr>
              <w:t xml:space="preserve">Ц</w:t>
            </w:r>
            <w:r>
              <w:rPr>
                <w:b/>
                <w:bCs/>
                <w:vertAlign w:val="subscript"/>
              </w:rPr>
              <w:t xml:space="preserve">i</w:t>
            </w:r>
            <w:r>
              <w:rPr>
                <w:b/>
                <w:color w:val="000000" w:themeColor="text1"/>
              </w:rPr>
              <w:t xml:space="preserve"> – условная</w:t>
            </w:r>
            <w:r>
              <w:rPr>
                <w:color w:val="000000" w:themeColor="text1"/>
              </w:rPr>
              <w:t xml:space="preserve"> </w:t>
            </w:r>
            <w:r>
              <w:t xml:space="preserve">цена </w:t>
            </w:r>
            <w:r>
              <w:rPr>
                <w:lang w:val="en-US"/>
              </w:rPr>
              <w:t xml:space="preserve">i</w:t>
            </w:r>
            <w:r>
              <w:t xml:space="preserve">-го Участника закупки, (предложение) которого оценивается.</w:t>
            </w:r>
            <w:r/>
          </w:p>
          <w:p>
            <w:pPr>
              <w:spacing w:after="0"/>
              <w:widowControl w:val="off"/>
            </w:pPr>
            <w:r>
              <w:rPr>
                <w:b/>
                <w:bCs/>
              </w:rPr>
              <w:t xml:space="preserve">Ц</w:t>
            </w:r>
            <w:r>
              <w:rPr>
                <w:b/>
                <w:bCs/>
                <w:vertAlign w:val="subscript"/>
              </w:rPr>
              <w:t xml:space="preserve">min</w:t>
            </w:r>
            <w:r>
              <w:t xml:space="preserve"> – минимальная </w:t>
            </w:r>
            <w:r>
              <w:rPr>
                <w:b/>
                <w:color w:val="000000" w:themeColor="text1"/>
              </w:rPr>
              <w:t xml:space="preserve">условная</w:t>
            </w:r>
            <w:r>
              <w:rPr>
                <w:color w:val="ff0000"/>
              </w:rPr>
              <w:t xml:space="preserve"> </w:t>
            </w:r>
            <w:r>
              <w:t xml:space="preserve">цена из предложений, сделанных участниками закупки, заявки которых признаны соответствующими установленным отборочным требованиям.</w:t>
            </w:r>
            <w:r/>
          </w:p>
          <w:p>
            <w:pPr>
              <w:spacing w:after="0"/>
              <w:widowControl w:val="off"/>
            </w:pPr>
            <w:r/>
            <w:r/>
          </w:p>
          <w:p>
            <w:pPr>
              <w:spacing w:after="0"/>
              <w:widowControl w:val="off"/>
            </w:pPr>
            <w:r>
              <w:rPr>
                <w:b/>
                <w:color w:val="000000" w:themeColor="text1"/>
              </w:rPr>
              <w:t xml:space="preserve">Условная</w:t>
            </w:r>
            <w:r>
              <w:rPr>
                <w:color w:val="ff0000"/>
              </w:rPr>
              <w:t xml:space="preserve"> </w:t>
            </w:r>
            <w:r>
              <w:t xml:space="preserve">цена предл</w:t>
            </w:r>
            <w:r>
              <w:t xml:space="preserve">ожений рассчитывается исходя из условного объема (условная единица), указанного в Коммерческом предложении (Приложение № 5 к настоящей документации), умноженного на предложение о коэффициенте понижения цены.</w:t>
            </w:r>
            <w:r/>
          </w:p>
          <w:p>
            <w:pPr>
              <w:spacing w:after="0"/>
              <w:widowControl w:val="off"/>
            </w:pPr>
            <w:r>
              <w:t xml:space="preserve">Полученное значение ЦБ</w:t>
            </w:r>
            <w:r>
              <w:rPr>
                <w:vertAlign w:val="subscript"/>
                <w:lang w:val="fr-FR"/>
              </w:rPr>
              <w:t xml:space="preserve">i</w:t>
            </w:r>
            <w:r>
              <w:t xml:space="preserve"> является балльной оценко</w:t>
            </w:r>
            <w:r>
              <w:t xml:space="preserve">й по ценовому критерию и учитывается при расчете итогового рейтинга заявки участника, с учетом весового коэффициента.</w:t>
            </w:r>
            <w:r/>
          </w:p>
          <w:p>
            <w:pPr>
              <w:spacing w:after="0"/>
              <w:widowControl w:val="off"/>
            </w:pPr>
            <w:r/>
            <w:r/>
          </w:p>
          <w:p>
            <w:pPr>
              <w:pStyle w:val="150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Договор с победителем закупки заключается по начальной (максимальной) цене договора (лота), установленной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пункте </w:t>
            </w:r>
            <w:hyperlink w:tooltip="#_Сведения_о_начальной" w:anchor="_Сведения_о" w:history="1">
              <w:r>
                <w:rPr>
                  <w:rStyle w:val="1437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 xml:space="preserve">7 части II «ИНФОРМАЦИОННАЯ КАРТА ЗАКУПКИ»</w:t>
              </w:r>
            </w:hyperlink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включением в договор коэффициента тендерного снижения (предлагаемой скидки) от расчетов стоимости выполняемых работ.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1504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14" w:type="dxa"/>
            <w:vAlign w:val="center"/>
            <w:vMerge w:val="restart"/>
            <w:textDirection w:val="lrTb"/>
            <w:noWrap w:val="false"/>
          </w:tcPr>
          <w:p>
            <w:pPr>
              <w:pStyle w:val="1504"/>
              <w:ind w:firstLine="0"/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  <w:lang w:eastAsia="en-US"/>
              </w:rPr>
              <w:t xml:space="preserve">Критерий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</w:rPr>
            </w:r>
          </w:p>
          <w:p>
            <w:pPr>
              <w:pStyle w:val="1504"/>
              <w:ind w:firstLine="0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  <w:t xml:space="preserve">«Опыт исполнения аналогичных договоров»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</w:r>
          </w:p>
          <w:p>
            <w:pPr>
              <w:pStyle w:val="1504"/>
              <w:ind w:firstLine="0"/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pStyle w:val="150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30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1779" w:type="dxa"/>
            <w:vAlign w:val="center"/>
            <w:vMerge w:val="restart"/>
            <w:textDirection w:val="lrTb"/>
            <w:noWrap w:val="false"/>
          </w:tcPr>
          <w:p>
            <w:pPr>
              <w:pStyle w:val="1504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9" w:type="dxa"/>
            <w:vMerge w:val="restart"/>
            <w:textDirection w:val="lrTb"/>
            <w:noWrap w:val="false"/>
          </w:tcPr>
          <w:p>
            <w:pPr>
              <w:ind w:left="13"/>
              <w:spacing w:before="14" w:after="14"/>
              <w:widowControl w:val="off"/>
            </w:pPr>
            <w:r>
              <w:t xml:space="preserve">Расчет рейтинга заявки по критерию «</w:t>
            </w:r>
            <w:r>
              <w:rPr>
                <w:b/>
              </w:rPr>
              <w:t xml:space="preserve">Опыт исполнения аналогичных договоров»</w:t>
            </w:r>
            <w:r>
              <w:t xml:space="preserve"> оценивается в баллах по формуле: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w:r/>
          </w:p>
          <w:p>
            <w:pPr>
              <w:ind w:left="13"/>
              <w:spacing w:before="14" w:after="14"/>
              <w:widowControl w:val="off"/>
            </w:pPr>
            <w:r/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rPr>
                        <m:sty m:val="p"/>
                      </m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rPr>
                        <m:sty m:val="p"/>
                      </m:rPr>
                      <m:t>oi</m:t>
                    </m:r>
                  </m:sub>
                </m:sSub>
                <m:r>
                  <w:rPr>
                    <w:rFonts w:ascii="Cambria Math" w:hAnsi="Cambria Math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ascii="Cambria Math" w:hAnsi="Cambria Math" w:eastAsia="Cambria Math" w:cs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rPr>
                            <m:sty m:val="p"/>
                          </m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rPr>
                            <m:sty m:val="p"/>
                          </m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rPr>
                            <m:sty m:val="p"/>
                          </m:rPr>
                          <m:t>О</m:t>
                        </m:r>
                      </m:e>
                      <m:sub>
                        <m:r>
                          <m:rPr>
                            <m:nor m:val="on"/>
                          </m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rPr>
                    <m:sty m:val="p"/>
                  </m:rPr>
                  <m:t>×100</m:t>
                </m:r>
                <m:r>
                  <w:rPr>
                    <w:rFonts w:ascii="Cambria Math" w:hAnsi="Cambria Math"/>
                  </w:rPr>
                  <m:rPr/>
                  <m:t>;</m:t>
                </m:r>
              </m:oMath>
            </m:oMathPara>
            <w:r/>
            <w:r/>
          </w:p>
          <w:p>
            <w:pPr>
              <w:ind w:left="13"/>
              <w:spacing w:before="14" w:after="14"/>
              <w:widowControl w:val="off"/>
            </w:pPr>
            <w:r>
              <w:t xml:space="preserve">где: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b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rPr>
                      <m:sty m:val="b"/>
                    </m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rPr>
                      <m:sty m:val="b"/>
                    </m:rPr>
                    <m:t>о</m:t>
                  </m:r>
                  <m:r>
                    <w:rPr>
                      <w:rFonts w:ascii="Cambria Math" w:hAnsi="Cambria Math"/>
                    </w:rPr>
                    <m:rPr>
                      <m:sty m:val="b"/>
                    </m:rPr>
                    <m:t>i</m:t>
                  </m:r>
                </m:sub>
              </m:sSub>
            </m:oMath>
            <w:r>
              <w:rPr>
                <w:b/>
                <w:bCs/>
              </w:rPr>
              <w:t xml:space="preserve"> </w:t>
            </w:r>
            <w:r>
              <w:t xml:space="preserve">– баллы, присуждаемые i-ой Заявке Участника по указанному критерию (без учета весового коэффициента);</w:t>
            </w:r>
            <w:r/>
          </w:p>
          <w:p>
            <w:pPr>
              <w:ind w:left="13"/>
              <w:spacing w:before="14" w:after="14"/>
              <w:widowControl w:val="off"/>
              <w:rPr>
                <w:highlight w:val="white"/>
              </w:rPr>
            </w:pPr>
            <w:r>
              <w:rPr>
                <w:b/>
                <w:bCs/>
              </w:rPr>
              <w:t xml:space="preserve">Оi</w:t>
            </w:r>
            <w:r>
              <w:t xml:space="preserve"> – опыт </w:t>
            </w:r>
            <w:r>
              <w:rPr>
                <w:highlight w:val="white"/>
              </w:rPr>
              <w:t xml:space="preserve">исполнения аналогичных договоров i-участником закупки (в ценовом выражении, без учета НДС). При этом, если величина опыта исполнения аналогичных договоров </w:t>
            </w:r>
            <w:r>
              <w:rPr>
                <w:highlight w:val="white"/>
                <w:lang w:val="en-US"/>
              </w:rPr>
              <w:t xml:space="preserve">i</w:t>
            </w:r>
            <w:r>
              <w:rPr>
                <w:highlight w:val="white"/>
              </w:rPr>
              <w:t xml:space="preserve">-участником закупки (в ценовом выражении) более чем в 10 (десять) раз превышает размер начальной (ма</w:t>
            </w:r>
            <w:r>
              <w:rPr>
                <w:highlight w:val="white"/>
              </w:rPr>
              <w:t xml:space="preserve">ксимальной) цены договора (лота), установленной </w:t>
            </w:r>
            <w:r>
              <w:t xml:space="preserve">в  пункте </w:t>
            </w:r>
            <w:hyperlink w:tooltip="#_Сведения_о_начальной" w:anchor="_Сведения_о_начальной" w:history="1">
              <w:r>
                <w:rPr>
                  <w:rStyle w:val="1437"/>
                </w:rPr>
                <w:t xml:space="preserve">7 части II «ИНФОРМАЦИОННАЯ КАРТА ЗАКУПКИ»</w:t>
              </w:r>
            </w:hyperlink>
            <w:r>
              <w:rPr>
                <w:highlight w:val="white"/>
              </w:rPr>
              <w:t xml:space="preserve">, то рейтинг заявки этого участника по данному критерию равен 100 баллам.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13"/>
              <w:spacing w:before="14" w:after="14"/>
              <w:widowControl w:val="off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 xml:space="preserve">О</w:t>
            </w:r>
            <w:r>
              <w:rPr>
                <w:b/>
                <w:bCs/>
                <w:highlight w:val="white"/>
                <w:vertAlign w:val="subscript"/>
                <w:lang w:val="en-US"/>
              </w:rPr>
              <w:t xml:space="preserve">max</w:t>
            </w:r>
            <w:r>
              <w:rPr>
                <w:highlight w:val="white"/>
              </w:rPr>
              <w:t xml:space="preserve"> – максима</w:t>
            </w:r>
            <w:r>
              <w:rPr>
                <w:highlight w:val="white"/>
              </w:rPr>
              <w:t xml:space="preserve">льное значение опыта исполнения аналогичных договоров (в ценовом выражении, без учета НДС) среди участников закупки, заявки которых признаны соответствующими установленным отборочным требованиям. При этом, если наибольшая величина опыта исполнения аналогич</w:t>
            </w:r>
            <w:r>
              <w:rPr>
                <w:highlight w:val="white"/>
              </w:rPr>
              <w:t xml:space="preserve">ных договоров среди всех участников закупки (в ценовом выражении) более чем в 10 (десять) раз превышает размер начальной (максимальной) цены договора (лота), установленной </w:t>
            </w:r>
            <w:r>
              <w:t xml:space="preserve">в  пункте </w:t>
            </w:r>
            <w:hyperlink w:tooltip="#_Сведения_о_начальной" w:anchor="_Сведения_о_начальной" w:history="1">
              <w:r>
                <w:rPr>
                  <w:rStyle w:val="1437"/>
                </w:rPr>
                <w:t xml:space="preserve">7 час</w:t>
              </w:r>
              <w:r>
                <w:rPr>
                  <w:rStyle w:val="1437"/>
                </w:rPr>
                <w:t xml:space="preserve">ти II «ИНФОРМАЦИОННАЯ КАРТА ЗАКУПКИ»</w:t>
              </w:r>
            </w:hyperlink>
            <w:r>
              <w:rPr>
                <w:highlight w:val="white"/>
              </w:rPr>
              <w:t xml:space="preserve">, O</w:t>
            </w:r>
            <w:r>
              <w:rPr>
                <w:highlight w:val="white"/>
                <w:vertAlign w:val="subscript"/>
              </w:rPr>
              <w:t xml:space="preserve">max</w:t>
            </w:r>
            <w:r>
              <w:rPr>
                <w:highlight w:val="white"/>
              </w:rPr>
              <w:t xml:space="preserve"> принимается равным величине начальной (максимальной) цены договора (лота), установленной </w:t>
            </w:r>
            <w:r>
              <w:t xml:space="preserve">в  пункте </w:t>
            </w:r>
            <w:hyperlink w:tooltip="#_Сведения_о_начальной" w:anchor="_Сведения_о_начальной" w:history="1">
              <w:r>
                <w:rPr>
                  <w:rStyle w:val="1437"/>
                </w:rPr>
                <w:t xml:space="preserve">7 части II «ИНФОРМАЦИОННАЯ КАРТА ЗАКУПКИ»</w:t>
              </w:r>
            </w:hyperlink>
            <w:r>
              <w:rPr>
                <w:highlight w:val="white"/>
              </w:rPr>
              <w:t xml:space="preserve"> уве</w:t>
            </w:r>
            <w:r>
              <w:rPr>
                <w:highlight w:val="white"/>
              </w:rPr>
              <w:t xml:space="preserve">личенной в 10 (десять) раз.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13"/>
              <w:spacing w:before="14" w:after="14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13"/>
              <w:spacing w:before="14" w:after="14"/>
              <w:widowControl w:val="off"/>
            </w:pPr>
            <w:r>
              <w:t xml:space="preserve">Расчетный период –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Интернет.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w:r/>
          </w:p>
          <w:p>
            <w:pPr>
              <w:pStyle w:val="1504"/>
              <w:ind w:left="13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Аналогичными договорами являются дог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оворы на: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r>
          </w:p>
          <w:p>
            <w:pPr>
              <w:pStyle w:val="1504"/>
              <w:ind w:left="13" w:firstLine="0"/>
              <w:jc w:val="both"/>
              <w:shd w:val="clear" w:color="ddebf6" w:themeColor="accent1" w:themeTint="33" w:fill="ddebf6" w:themeFill="accent1" w:themeFillTint="33"/>
            </w:pP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100cf2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100cf2"/>
                <w:sz w:val="24"/>
                <w:szCs w:val="24"/>
                <w:highlight w:val="none"/>
              </w:rPr>
              <w:t xml:space="preserve">Выполнение работ «под ключ» по строительству/реконструкции/ремонту объектов электросетевого хозяйства напряжением от 0,4 кВ до 15 кВ, мощностью от 1 до 150 кВт.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100cf2"/>
                <w:sz w:val="24"/>
                <w:szCs w:val="24"/>
                <w:highlight w:val="none"/>
              </w:rPr>
            </w:r>
            <w:r/>
          </w:p>
          <w:p>
            <w:pPr>
              <w:pStyle w:val="1504"/>
              <w:ind w:left="13" w:firstLine="0"/>
              <w:jc w:val="both"/>
              <w:shd w:val="clear" w:color="ddebf6" w:themeColor="accent1" w:themeTint="33" w:fill="ddebf6" w:themeFill="accent1" w:themeFillTint="33"/>
            </w:pP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100cf2"/>
                <w:sz w:val="24"/>
                <w:szCs w:val="24"/>
                <w:highlight w:val="none"/>
              </w:rPr>
              <w:t xml:space="preserve">Выполнение работ по проектированию объектов электросетевого хозяйства напряжением от 0,4 кВ до 15 кВ, мощностью от 1 до 150 кВт.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100cf2"/>
                <w:sz w:val="24"/>
                <w:szCs w:val="24"/>
                <w:highlight w:val="none"/>
              </w:rPr>
            </w:r>
            <w:r/>
          </w:p>
          <w:p>
            <w:pPr>
              <w:pStyle w:val="1504"/>
              <w:ind w:left="13" w:firstLine="0"/>
              <w:jc w:val="both"/>
              <w:shd w:val="clear" w:color="ddebf6" w:themeColor="accent1" w:themeTint="33" w:fill="ddebf6" w:themeFill="accent1" w:themeFillTint="33"/>
              <w:rPr>
                <w:rFonts w:ascii="Times New Roman" w:hAnsi="Times New Roman" w:cs="Times New Roman"/>
                <w:b w:val="0"/>
                <w:bCs/>
                <w:i/>
                <w:color w:val="100cf2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100cf2"/>
                <w:sz w:val="24"/>
                <w:szCs w:val="24"/>
                <w:highlight w:val="none"/>
              </w:rPr>
              <w:t xml:space="preserve">Выполнение строительно-монтажных работ по строительству/реконструкции/ремонту объектов электросетевого хозяйства напряжением от 0,4 кВ до 15 кВ, мощностью от 1 до 150 кВт.</w:t>
            </w:r>
            <w:r>
              <w:rPr>
                <w:rFonts w:ascii="Times New Roman" w:hAnsi="Times New Roman" w:cs="Times New Roman"/>
                <w:b w:val="0"/>
                <w:bCs w:val="0"/>
                <w:i/>
                <w:color w:val="100cf2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/>
                <w:i/>
                <w:color w:val="100cf2"/>
                <w:sz w:val="24"/>
                <w:szCs w:val="24"/>
                <w:highlight w:val="none"/>
              </w:rPr>
            </w:r>
          </w:p>
          <w:p>
            <w:pPr>
              <w:ind w:left="13"/>
              <w:spacing w:before="14" w:after="14"/>
              <w:widowControl w:val="off"/>
            </w:pPr>
            <w:r>
              <w:t xml:space="preserve">В рамках данного требования к учету будет принята стоимость выполненных работ по аналогичным договорам, которые завершены  за последние 3 (три) года на дату размещения извещения о закупке на официальном сайте еди</w:t>
            </w:r>
            <w:r>
              <w:t xml:space="preserve">ной информационной системы в сфере закупок в информационно-телекоммуникационной сети Интернет, отраженная в последней «Справке о стоимости выполненных работ и затрат» по форме КС-3 (в случае если в соответствии с условиями договора такая форма предусмотрен</w:t>
            </w:r>
            <w:r>
              <w:t xml:space="preserve">а), либо в актах выполненных работ. </w:t>
            </w:r>
            <w:r/>
          </w:p>
          <w:p>
            <w:pPr>
              <w:ind w:left="13"/>
              <w:spacing w:before="14" w:after="14"/>
              <w:widowControl w:val="off"/>
            </w:pPr>
            <w:r>
              <w:t xml:space="preserve">Из расчета исключаются договоры, не являющиеся аналогичными, договоры, не исполненные на 100%, договоры, указанные в справке, по которым отсутствуют подтверждающие документы, а также договоры, не указанные в справке.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w:r/>
          </w:p>
          <w:p>
            <w:pPr>
              <w:ind w:left="13"/>
            </w:pPr>
            <w:r>
              <w:rPr>
                <w:b/>
                <w:bCs/>
              </w:rPr>
              <w:t xml:space="preserve">П</w:t>
            </w:r>
            <w:r>
              <w:rPr>
                <w:b/>
                <w:bCs/>
              </w:rPr>
              <w:t xml:space="preserve">одтверждающие документы</w:t>
            </w:r>
            <w:r>
              <w:t xml:space="preserve">:</w:t>
            </w:r>
            <w:r/>
          </w:p>
          <w:p>
            <w:pPr>
              <w:pStyle w:val="1488"/>
              <w:numPr>
                <w:ilvl w:val="0"/>
                <w:numId w:val="52"/>
              </w:numPr>
              <w:ind w:left="0" w:firstLine="992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Спра_7" w:anchor="_ФОРМА_СПРА_6" w:history="1">
              <w:r>
                <w:rPr>
                  <w:rStyle w:val="1437"/>
                  <w:lang w:eastAsia="en-US"/>
                </w:rPr>
                <w:t xml:space="preserve">СПРАВКА О ПЕРЕЧНЕ И ОБЪЕМАХ ВЫПОЛНЕНИЯ АНАЛОГИЧНЫХ ДОГОВОРОВ ЗА 3 (ТРИ) ПОСЛЕДНИХ ГОДА</w:t>
              </w:r>
            </w:hyperlink>
            <w:r>
              <w:t xml:space="preserve"> </w:t>
            </w:r>
            <w:r>
              <w:rPr>
                <w:rStyle w:val="1437"/>
                <w:color w:val="000000" w:themeColor="text1"/>
                <w:u w:val="none"/>
                <w:lang w:eastAsia="en-US"/>
              </w:rPr>
              <w:t xml:space="preserve">по форме, установленной в настоящей документации о закупке (</w:t>
            </w:r>
            <w:r>
              <w:t xml:space="preserve">часть </w:t>
            </w:r>
            <w:hyperlink w:tooltip="#_III._ОБРАЗ" w:anchor="_III._ОБРАЗ" w:history="1">
              <w:r>
                <w:rPr>
                  <w:rStyle w:val="1437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437"/>
                <w:color w:val="000000" w:themeColor="text1"/>
                <w:u w:val="none"/>
                <w:lang w:eastAsia="en-US"/>
              </w:rPr>
              <w:t xml:space="preserve">)</w:t>
            </w:r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88"/>
              <w:numPr>
                <w:ilvl w:val="0"/>
                <w:numId w:val="52"/>
              </w:numPr>
              <w:ind w:left="0" w:firstLine="992"/>
              <w:tabs>
                <w:tab w:val="left" w:pos="383" w:leader="none"/>
              </w:tabs>
            </w:pPr>
            <w:r>
              <w:t xml:space="preserve">Копии исполненных аналогичных договоров, включающих все приложения к таким договорам, все дополнительные соглашения к ним;</w:t>
            </w:r>
            <w:r/>
          </w:p>
          <w:p>
            <w:pPr>
              <w:pStyle w:val="1488"/>
              <w:numPr>
                <w:ilvl w:val="0"/>
                <w:numId w:val="52"/>
              </w:numPr>
              <w:ind w:left="0" w:firstLine="992"/>
              <w:tabs>
                <w:tab w:val="left" w:pos="383" w:leader="none"/>
              </w:tabs>
              <w:rPr>
                <w:lang w:eastAsia="en-US"/>
              </w:rPr>
            </w:pPr>
            <w:r>
              <w:t xml:space="preserve">Копия последней «Справки о сто</w:t>
            </w:r>
            <w:r>
              <w:t xml:space="preserve">имости выполненных работ и затрат» по форме КС-3 (в случае если в соответствии с условиями договора такая форма предусмотрена);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13"/>
              <w:spacing w:after="0"/>
              <w:rPr>
                <w:b/>
                <w:color w:val="1f497d"/>
              </w:rPr>
            </w:pPr>
            <w:r>
              <w:rPr>
                <w:b/>
              </w:rPr>
              <w:t xml:space="preserve">или </w:t>
            </w:r>
            <w:r>
              <w:rPr>
                <w:b/>
                <w:color w:val="1f497d"/>
              </w:rPr>
            </w:r>
            <w:r>
              <w:rPr>
                <w:b/>
                <w:color w:val="1f497d"/>
              </w:rPr>
            </w:r>
          </w:p>
          <w:p>
            <w:pPr>
              <w:pStyle w:val="1488"/>
              <w:numPr>
                <w:ilvl w:val="0"/>
                <w:numId w:val="53"/>
              </w:numPr>
              <w:ind w:left="0" w:firstLine="992"/>
            </w:pPr>
            <w:r>
              <w:t xml:space="preserve">копии «Актов о приемке выполненных работ» (форма КС-2 или иная форма в соответствии с условиями договора), содержащих все о</w:t>
            </w:r>
            <w:r>
              <w:t xml:space="preserve">бязательные реквизиты, установленные частью 2 статьи 9 Федерального закона «О бухгалтерском учете» от 06.12.2011 № 402-ФЗ.</w:t>
            </w:r>
            <w:r/>
          </w:p>
          <w:p>
            <w:pPr>
              <w:pStyle w:val="1504"/>
              <w:ind w:left="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13"/>
              <w:spacing w:after="0"/>
              <w:widowControl w:val="off"/>
            </w:pPr>
            <w:r>
              <w:t xml:space="preserve">В случае не предоставления участником закупки необходимой для проведения балльной оценки информации или недостаточности предоставлен</w:t>
            </w:r>
            <w:r>
              <w:t xml:space="preserve">ной участником информации, заявке такого участника, по данному критерию, присваивается </w:t>
            </w:r>
            <w:r>
              <w:rPr>
                <w:b/>
              </w:rPr>
              <w:t xml:space="preserve">0 баллов</w:t>
            </w:r>
            <w:r>
              <w:t xml:space="preserve">.</w:t>
            </w:r>
            <w:r/>
          </w:p>
        </w:tc>
      </w:tr>
    </w:tbl>
    <w:p>
      <w:pPr>
        <w:jc w:val="left"/>
        <w:spacing w:after="0"/>
      </w:pPr>
      <w:r/>
      <w:r/>
    </w:p>
    <w:p>
      <w:pPr>
        <w:pStyle w:val="1530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Полученные расчетные знач</w:t>
      </w:r>
      <w:r>
        <w:rPr>
          <w:rFonts w:eastAsia="Calibri"/>
          <w:lang w:eastAsia="en-US"/>
        </w:rPr>
        <w:t xml:space="preserve">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</w:t>
      </w:r>
      <w:r>
        <w:rPr>
          <w:rFonts w:eastAsia="Calibri"/>
          <w:lang w:eastAsia="en-US"/>
        </w:rPr>
        <w:t xml:space="preserve">ициентов: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lang w:val="en-US" w:eastAsia="en-US"/>
        </w:rPr>
        <w:t xml:space="preserve">R</w:t>
      </w:r>
      <w:r>
        <w:rPr>
          <w:rFonts w:eastAsia="Calibri"/>
          <w:bCs/>
          <w:vertAlign w:val="subscript"/>
          <w:lang w:val="en-US" w:eastAsia="en-US"/>
        </w:rPr>
        <w:t xml:space="preserve">i</w:t>
      </w:r>
      <w:r>
        <w:rPr>
          <w:rFonts w:eastAsia="Calibri"/>
          <w:b/>
          <w:bCs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= (R</w:t>
      </w:r>
      <w:r>
        <w:rPr>
          <w:rFonts w:eastAsia="Calibri"/>
          <w:iCs/>
          <w:vertAlign w:val="subscript"/>
          <w:lang w:val="en-US" w:eastAsia="en-US"/>
        </w:rPr>
        <w:t xml:space="preserve">si</w:t>
      </w:r>
      <w:r>
        <w:rPr>
          <w:rFonts w:eastAsia="Calibri"/>
          <w:vertAlign w:val="subscript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x 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val="en-US" w:eastAsia="en-US"/>
        </w:rPr>
        <w:t xml:space="preserve">) + (R</w:t>
      </w:r>
      <w:r>
        <w:rPr>
          <w:rFonts w:eastAsia="Calibri"/>
          <w:iCs/>
          <w:vertAlign w:val="subscript"/>
          <w:lang w:val="en-US" w:eastAsia="en-US"/>
        </w:rPr>
        <w:t xml:space="preserve">o1</w:t>
      </w:r>
      <w:r>
        <w:rPr>
          <w:rFonts w:eastAsia="Calibri"/>
          <w:lang w:val="en-US" w:eastAsia="en-US"/>
        </w:rPr>
        <w:t xml:space="preserve"> x V</w:t>
      </w:r>
      <w:r>
        <w:rPr>
          <w:rFonts w:eastAsia="Calibri"/>
          <w:vertAlign w:val="subscript"/>
          <w:lang w:val="en-US" w:eastAsia="en-US"/>
        </w:rPr>
        <w:t xml:space="preserve">o1</w:t>
      </w:r>
      <w:r>
        <w:rPr>
          <w:rFonts w:eastAsia="Calibri"/>
          <w:lang w:val="en-US" w:eastAsia="en-US"/>
        </w:rPr>
        <w:t xml:space="preserve">) + (R</w:t>
      </w:r>
      <w:r>
        <w:rPr>
          <w:rFonts w:eastAsia="Calibri"/>
          <w:iCs/>
          <w:vertAlign w:val="subscript"/>
          <w:lang w:val="en-US" w:eastAsia="en-US"/>
        </w:rPr>
        <w:t xml:space="preserve">o2</w:t>
      </w:r>
      <w:r>
        <w:rPr>
          <w:rFonts w:eastAsia="Calibri"/>
          <w:lang w:val="en-US" w:eastAsia="en-US"/>
        </w:rPr>
        <w:t xml:space="preserve"> x V</w:t>
      </w:r>
      <w:r>
        <w:rPr>
          <w:rFonts w:eastAsia="Calibri"/>
          <w:vertAlign w:val="subscript"/>
          <w:lang w:val="en-US" w:eastAsia="en-US"/>
        </w:rPr>
        <w:t xml:space="preserve">o2</w:t>
      </w:r>
      <w:r>
        <w:rPr>
          <w:rFonts w:eastAsia="Calibri"/>
          <w:lang w:val="en-US" w:eastAsia="en-US"/>
        </w:rPr>
        <w:t xml:space="preserve">) + … </w:t>
      </w:r>
      <w:r>
        <w:rPr>
          <w:rFonts w:eastAsia="Calibri"/>
          <w:lang w:eastAsia="en-US"/>
        </w:rPr>
        <w:t xml:space="preserve">+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on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val="en-US" w:eastAsia="en-US"/>
        </w:rPr>
        <w:t xml:space="preserve">x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val="en-US" w:eastAsia="en-US"/>
        </w:rPr>
        <w:t xml:space="preserve">V</w:t>
      </w:r>
      <w:r>
        <w:rPr>
          <w:rFonts w:eastAsia="Calibri"/>
          <w:vertAlign w:val="subscript"/>
          <w:lang w:val="en-US" w:eastAsia="en-US"/>
        </w:rPr>
        <w:t xml:space="preserve">on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где: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bCs/>
          <w:lang w:eastAsia="en-US"/>
        </w:rPr>
        <w:t xml:space="preserve">Ri </w:t>
      </w:r>
      <w:r>
        <w:rPr>
          <w:rFonts w:eastAsia="Calibri"/>
          <w:b/>
          <w:bCs/>
          <w:lang w:eastAsia="en-US"/>
        </w:rPr>
        <w:t xml:space="preserve"> </w:t>
      </w:r>
      <w:r>
        <w:rPr>
          <w:rFonts w:eastAsia="Calibri"/>
          <w:lang w:eastAsia="en-US"/>
        </w:rPr>
        <w:t xml:space="preserve">- общий рейтинг предпочтительности i-й заявки;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si</w:t>
      </w:r>
      <w:r>
        <w:rPr>
          <w:rFonts w:eastAsia="Calibri"/>
          <w:vertAlign w:val="subscript"/>
          <w:lang w:eastAsia="en-US"/>
        </w:rPr>
        <w:t xml:space="preserve"> </w:t>
      </w:r>
      <w:r>
        <w:rPr>
          <w:rFonts w:eastAsia="Calibri"/>
          <w:lang w:val="en-US" w:eastAsia="en-US"/>
        </w:rPr>
        <w:t xml:space="preserve"> </w:t>
      </w:r>
      <w:r>
        <w:rPr>
          <w:rFonts w:eastAsia="Calibri"/>
          <w:lang w:eastAsia="en-US"/>
        </w:rPr>
        <w:t xml:space="preserve">- оценка в баллах по ценовому критерию (по критерию стоимости заявки);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o</w:t>
      </w:r>
      <w:r>
        <w:rPr>
          <w:rFonts w:eastAsia="Calibri"/>
          <w:iCs/>
          <w:vertAlign w:val="subscript"/>
          <w:lang w:eastAsia="en-US"/>
        </w:rPr>
        <w:t xml:space="preserve">1 </w:t>
      </w:r>
      <w:r>
        <w:rPr>
          <w:rFonts w:eastAsia="Calibri"/>
          <w:lang w:eastAsia="en-US"/>
        </w:rPr>
        <w:t xml:space="preserve">- оценка в баллах по неценовому критерию №1</w:t>
      </w:r>
      <w:r>
        <w:rPr>
          <w:rFonts w:eastAsia="Calibri"/>
          <w:bCs/>
          <w:lang w:eastAsia="en-US"/>
        </w:rPr>
        <w:t xml:space="preserve">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o</w:t>
      </w:r>
      <w:r>
        <w:rPr>
          <w:rFonts w:eastAsia="Calibri"/>
          <w:iCs/>
          <w:vertAlign w:val="subscript"/>
          <w:lang w:eastAsia="en-US"/>
        </w:rPr>
        <w:t xml:space="preserve">2 </w:t>
      </w:r>
      <w:r>
        <w:rPr>
          <w:rFonts w:eastAsia="Calibri"/>
          <w:lang w:eastAsia="en-US"/>
        </w:rPr>
        <w:t xml:space="preserve">- оценка в баллах по неценовому критерию №2</w:t>
      </w:r>
      <w:r>
        <w:rPr>
          <w:rFonts w:eastAsia="Calibri"/>
          <w:bCs/>
          <w:lang w:eastAsia="en-US"/>
        </w:rPr>
        <w:t xml:space="preserve">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…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on</w:t>
      </w:r>
      <w:r>
        <w:rPr>
          <w:rFonts w:eastAsia="Calibri"/>
          <w:iCs/>
          <w:vertAlign w:val="subscript"/>
          <w:lang w:eastAsia="en-US"/>
        </w:rPr>
        <w:t xml:space="preserve"> </w:t>
      </w:r>
      <w:r>
        <w:rPr>
          <w:rFonts w:eastAsia="Calibri"/>
          <w:lang w:eastAsia="en-US"/>
        </w:rPr>
        <w:t xml:space="preserve">- оценка в баллах по неценовому критерию №</w:t>
      </w:r>
      <w:r>
        <w:rPr>
          <w:rFonts w:eastAsia="Calibri"/>
          <w:lang w:val="en-US" w:eastAsia="en-US"/>
        </w:rPr>
        <w:t xml:space="preserve">n</w:t>
      </w:r>
      <w:r>
        <w:rPr>
          <w:rFonts w:eastAsia="Calibri"/>
          <w:bCs/>
          <w:lang w:eastAsia="en-US"/>
        </w:rPr>
        <w:t xml:space="preserve">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bCs/>
          <w:i/>
          <w:lang w:eastAsia="en-US"/>
        </w:rPr>
      </w:pPr>
      <w:r>
        <w:rPr>
          <w:rFonts w:eastAsia="Arial Unicode MS"/>
        </w:rPr>
        <w:t xml:space="preserve">V</w:t>
      </w:r>
      <w:r>
        <w:rPr>
          <w:rFonts w:eastAsia="Arial Unicode MS"/>
          <w:lang w:val="en-US"/>
        </w:rPr>
        <w:t xml:space="preserve">s</w:t>
      </w:r>
      <w:r>
        <w:rPr>
          <w:rFonts w:eastAsia="Arial Unicode MS"/>
        </w:rPr>
        <w:t xml:space="preserve">, V</w:t>
      </w:r>
      <w:r>
        <w:rPr>
          <w:rFonts w:eastAsia="Arial Unicode MS"/>
          <w:vertAlign w:val="subscript"/>
          <w:lang w:val="en-US"/>
        </w:rPr>
        <w:t xml:space="preserve">o</w:t>
      </w:r>
      <w:r>
        <w:rPr>
          <w:rFonts w:eastAsia="Arial Unicode MS"/>
          <w:vertAlign w:val="subscript"/>
        </w:rPr>
        <w:t xml:space="preserve">1</w:t>
      </w:r>
      <w:r>
        <w:rPr>
          <w:rFonts w:eastAsia="Arial Unicode MS"/>
        </w:rPr>
        <w:t xml:space="preserve">, V</w:t>
      </w:r>
      <w:r>
        <w:rPr>
          <w:rFonts w:eastAsia="Arial Unicode MS"/>
          <w:vertAlign w:val="subscript"/>
          <w:lang w:val="en-US"/>
        </w:rPr>
        <w:t xml:space="preserve">o</w:t>
      </w:r>
      <w:r>
        <w:rPr>
          <w:rFonts w:eastAsia="Arial Unicode MS"/>
          <w:vertAlign w:val="subscript"/>
        </w:rPr>
        <w:t xml:space="preserve">2</w:t>
      </w:r>
      <w:r>
        <w:rPr>
          <w:rFonts w:eastAsia="Arial Unicode MS"/>
        </w:rPr>
        <w:t xml:space="preserve">, … V</w:t>
      </w:r>
      <w:r>
        <w:rPr>
          <w:rFonts w:eastAsia="Arial Unicode MS"/>
          <w:vertAlign w:val="subscript"/>
          <w:lang w:val="en-US"/>
        </w:rPr>
        <w:t xml:space="preserve">on</w:t>
      </w:r>
      <w:r>
        <w:rPr>
          <w:rFonts w:eastAsia="Arial Unicode MS"/>
        </w:rPr>
        <w:t xml:space="preserve"> – весовые коэффициенты соответствующих критериев</w:t>
      </w:r>
      <w:r>
        <w:rPr>
          <w:rFonts w:eastAsia="Calibri"/>
        </w:rPr>
        <w:t xml:space="preserve">.</w:t>
      </w:r>
      <w:r>
        <w:rPr>
          <w:rFonts w:eastAsia="Calibri"/>
          <w:bCs/>
          <w:i/>
          <w:lang w:eastAsia="en-US"/>
        </w:rPr>
      </w:r>
      <w:r>
        <w:rPr>
          <w:rFonts w:eastAsia="Calibri"/>
          <w:bCs/>
          <w:i/>
          <w:lang w:eastAsia="en-US"/>
        </w:rPr>
      </w:r>
    </w:p>
    <w:p>
      <w:pPr>
        <w:pStyle w:val="1530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закупки.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30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Наивысшее место в итоговом рейтинге (ранжировке) с учетом весовых коэффициентов значимости получает Заявка, имеющая макси</w:t>
      </w:r>
      <w:r>
        <w:rPr>
          <w:rFonts w:eastAsia="Calibri"/>
          <w:lang w:eastAsia="en-US"/>
        </w:rPr>
        <w:t xml:space="preserve">мальный общий рейтинг предпочтительности Заявки (Ri).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30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</w:t>
      </w:r>
      <w:r>
        <w:rPr>
          <w:rFonts w:eastAsia="Calibri"/>
          <w:lang w:eastAsia="en-US"/>
        </w:rPr>
        <w:t xml:space="preserve">заявок по степени предпочтительности.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30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219"/>
        <w:ind w:left="0"/>
        <w:jc w:val="right"/>
      </w:pPr>
      <w:r/>
      <w:bookmarkStart w:id="156" w:name="_Приложение_1"/>
      <w:r/>
      <w:bookmarkStart w:id="157" w:name="_Приложение_№_2"/>
      <w:r/>
      <w:bookmarkEnd w:id="156"/>
      <w:r/>
      <w:bookmarkEnd w:id="157"/>
      <w:r>
        <w:rPr>
          <w:rFonts w:ascii="Times New Roman" w:hAnsi="Times New Roman" w:cs="Times New Roman"/>
        </w:rPr>
        <w:t xml:space="preserve">Приложение № 2 к ч</w:t>
      </w:r>
      <w:r>
        <w:rPr>
          <w:rFonts w:ascii="Times New Roman" w:hAnsi="Times New Roman" w:cs="Times New Roman"/>
        </w:rPr>
        <w:t xml:space="preserve">асти II «ИНФОРМАЦИОННАЯ КАРТА ЗАКУПКИ»</w:t>
      </w:r>
      <w:r>
        <w:t xml:space="preserve"> </w:t>
      </w:r>
      <w:r/>
    </w:p>
    <w:p>
      <w:pPr>
        <w:widowControl w:val="off"/>
      </w:pPr>
      <w:r/>
      <w:r/>
    </w:p>
    <w:p>
      <w:pPr>
        <w:ind w:firstLine="567"/>
        <w:widowControl w:val="off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t xml:space="preserve">Сведения о начальной (максимальной) цене единицы товара, работы, услуги указаны в части </w:t>
      </w:r>
      <w:hyperlink w:tooltip="#_ОБОСНОВАНИЕ_НМЦ" w:anchor="_ОБОСНОВАНИЕ_НМЦ" w:history="1">
        <w:r>
          <w:rPr>
            <w:rStyle w:val="1437"/>
          </w:rPr>
          <w:t xml:space="preserve">VI «ОБОСНОВАНИЕ НАЧАЛЬНОЙ (МАКСИМАЛЬНОЙ) ЦЕНЫ ДОГОВОРА»</w:t>
        </w:r>
      </w:hyperlink>
      <w:r>
        <w:t xml:space="preserve"> настоящей документации о закупке.</w:t>
      </w:r>
      <w:r/>
    </w:p>
    <w:p>
      <w:pPr>
        <w:pStyle w:val="1217"/>
        <w:numPr>
          <w:ilvl w:val="0"/>
          <w:numId w:val="4"/>
        </w:numPr>
        <w:ind w:left="0" w:firstLine="567"/>
        <w:pageBreakBefore/>
        <w:spacing w:before="0" w:after="0"/>
        <w:rPr>
          <w:rStyle w:val="1388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256" w:name="_Toc46"/>
      <w:r/>
      <w:bookmarkStart w:id="158" w:name="_III._ОБРАЗ"/>
      <w:r/>
      <w:bookmarkStart w:id="159" w:name="_РАЗДЕЛ_I_4_ОБРАЗЦЫ_ФОРМ_И_ДОКУМЕНТО"/>
      <w:r/>
      <w:bookmarkStart w:id="160" w:name="_ОБРАЗЦЫ_ФОРМ_ДЛЯ"/>
      <w:r/>
      <w:bookmarkStart w:id="161" w:name="_Ref119427310"/>
      <w:r/>
      <w:bookmarkStart w:id="162" w:name="_Ref166101288"/>
      <w:r/>
      <w:bookmarkStart w:id="163" w:name="_Ref166101291"/>
      <w:r/>
      <w:bookmarkStart w:id="164" w:name="_Ref166158276"/>
      <w:r/>
      <w:bookmarkStart w:id="165" w:name="_Ref166158279"/>
      <w:r/>
      <w:bookmarkStart w:id="166" w:name="_Ref166329210"/>
      <w:r/>
      <w:bookmarkStart w:id="167" w:name="_Ref166329212"/>
      <w:r/>
      <w:bookmarkStart w:id="168" w:name="_Ref166329217"/>
      <w:r/>
      <w:bookmarkEnd w:id="158"/>
      <w:r/>
      <w:bookmarkEnd w:id="159"/>
      <w:r/>
      <w:bookmarkEnd w:id="160"/>
      <w:r>
        <w:rPr>
          <w:rStyle w:val="1388"/>
          <w:rFonts w:ascii="Times New Roman" w:hAnsi="Times New Roman" w:cs="Times New Roman"/>
          <w:color w:val="auto"/>
          <w:sz w:val="28"/>
          <w:szCs w:val="28"/>
        </w:rPr>
        <w:t xml:space="preserve">ОБРАЗЦЫ ФОРМ ДЛЯ ЗАПОЛНЕНИЯ УЧАСТНИКАМИ ЗАКУПКИ</w:t>
      </w:r>
      <w:bookmarkEnd w:id="161"/>
      <w:r/>
      <w:bookmarkEnd w:id="162"/>
      <w:r/>
      <w:bookmarkEnd w:id="163"/>
      <w:r/>
      <w:bookmarkEnd w:id="164"/>
      <w:r/>
      <w:bookmarkEnd w:id="165"/>
      <w:r/>
      <w:bookmarkEnd w:id="166"/>
      <w:r/>
      <w:bookmarkEnd w:id="167"/>
      <w:r/>
      <w:bookmarkEnd w:id="168"/>
      <w:r>
        <w:rPr>
          <w:rStyle w:val="1388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bookmarkEnd w:id="256"/>
      <w:r/>
      <w:r>
        <w:rPr>
          <w:rStyle w:val="1388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r/>
      <w:r/>
    </w:p>
    <w:p>
      <w:pPr>
        <w:pStyle w:val="1218"/>
        <w:ind w:left="0" w:firstLine="0"/>
        <w:tabs>
          <w:tab w:val="clear" w:pos="576" w:leader="none"/>
        </w:tabs>
        <w:rPr>
          <w:color w:val="000000" w:themeColor="text1"/>
          <w:sz w:val="24"/>
          <w:szCs w:val="24"/>
        </w:rPr>
      </w:pPr>
      <w:r/>
      <w:bookmarkStart w:id="257" w:name="_Toc47"/>
      <w:r>
        <w:rPr>
          <w:color w:val="000000" w:themeColor="text1"/>
          <w:sz w:val="24"/>
          <w:szCs w:val="24"/>
        </w:rPr>
        <w:t xml:space="preserve">ФОРМА ТЕХНИЧЕСКОЕ ПРЕДЛОЖЕНИЕ</w:t>
      </w:r>
      <w:r>
        <w:rPr>
          <w:color w:val="000000" w:themeColor="text1"/>
          <w:sz w:val="24"/>
          <w:szCs w:val="24"/>
        </w:rPr>
      </w:r>
      <w:bookmarkEnd w:id="257"/>
      <w:r/>
      <w:r>
        <w:rPr>
          <w:color w:val="000000" w:themeColor="text1"/>
          <w:sz w:val="24"/>
          <w:szCs w:val="24"/>
        </w:rPr>
      </w:r>
    </w:p>
    <w:p>
      <w:r/>
      <w:r/>
    </w:p>
    <w:p>
      <w:pPr>
        <w:jc w:val="center"/>
        <w:spacing w:after="0"/>
        <w:rPr>
          <w:b/>
        </w:rPr>
      </w:pPr>
      <w:r>
        <w:rPr>
          <w:b/>
        </w:rPr>
        <w:t xml:space="preserve">Предложение участника в отношении предмета закупки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Техническое предложение на выполнение работ/оказание услуг</w:t>
      </w:r>
      <w:r>
        <w:rPr>
          <w:b/>
        </w:rPr>
      </w:r>
      <w:r>
        <w:rPr>
          <w:b/>
        </w:rPr>
      </w:r>
    </w:p>
    <w:p>
      <w:r>
        <w:rPr>
          <w:b/>
        </w:rPr>
        <w:t xml:space="preserve"> </w:t>
      </w:r>
      <w:r/>
    </w:p>
    <w:p>
      <w:pPr>
        <w:ind w:firstLine="567"/>
        <w:spacing w:after="0"/>
      </w:pPr>
      <w:r/>
      <w:r/>
    </w:p>
    <w:p>
      <w:pPr>
        <w:ind w:firstLine="567"/>
        <w:spacing w:after="0"/>
      </w:pPr>
      <w:r>
        <w:t xml:space="preserve">Наименование закупки _______________________________________ Лот № _______</w:t>
      </w:r>
      <w:r/>
    </w:p>
    <w:p>
      <w:pPr>
        <w:ind w:firstLine="567"/>
        <w:spacing w:after="0"/>
      </w:pPr>
      <w:r>
        <w:t xml:space="preserve">Номер извещения о проведении закупки в ЕИС: _______________________________</w:t>
      </w:r>
      <w:r/>
    </w:p>
    <w:p>
      <w:pPr>
        <w:ind w:firstLine="567"/>
        <w:spacing w:after="0"/>
      </w:pPr>
      <w:r/>
      <w:r/>
    </w:p>
    <w:p>
      <w:pPr>
        <w:ind w:firstLine="567"/>
        <w:spacing w:after="0"/>
      </w:pPr>
      <w:r>
        <w:rPr>
          <w:bCs/>
        </w:rPr>
        <w:t xml:space="preserve">Настоящим выражаем свое согласие на выполн</w:t>
      </w:r>
      <w:r>
        <w:rPr>
          <w:bCs/>
        </w:rPr>
        <w:t xml:space="preserve">ение работ в полном соответствии с документацией о закупке, в том числе в соответствии с требованиями разделов «ТЕХНИЧЕСКАЯ ЧАСТЬ» и «ПРОЕКТ ДОГОВОРА» документации о закупке.  </w:t>
      </w:r>
      <w:r/>
    </w:p>
    <w:p>
      <w:pPr>
        <w:ind w:firstLine="567"/>
        <w:spacing w:after="0"/>
      </w:pPr>
      <w:r/>
      <w:r/>
    </w:p>
    <w:p>
      <w:pPr>
        <w:ind w:firstLine="567"/>
        <w:spacing w:before="120"/>
        <w:rPr>
          <w:color w:val="0000cc"/>
        </w:rPr>
      </w:pPr>
      <w:r>
        <w:rPr>
          <w:color w:val="0000cc"/>
        </w:rPr>
        <w:t xml:space="preserve">Приложение: Техническое предложение на выполнение работ в редактируемом формат</w:t>
      </w:r>
      <w:r>
        <w:rPr>
          <w:color w:val="0000cc"/>
        </w:rPr>
        <w:t xml:space="preserve">е на ____ л.</w:t>
      </w:r>
      <w:r>
        <w:rPr>
          <w:color w:val="0000cc"/>
        </w:rPr>
      </w:r>
      <w:r>
        <w:rPr>
          <w:color w:val="0000cc"/>
        </w:rPr>
      </w:r>
    </w:p>
    <w:p>
      <w:pPr>
        <w:jc w:val="left"/>
        <w:spacing w:after="0"/>
      </w:pPr>
      <w:r/>
      <w:r/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rPr>
          <w:b/>
          <w:bCs/>
        </w:rPr>
      </w:pPr>
      <w:r>
        <w:rPr>
          <w:b/>
        </w:rPr>
        <w:t xml:space="preserve">Инструкции по заполнению:</w:t>
      </w:r>
      <w:r>
        <w:rPr>
          <w:b/>
          <w:bCs/>
        </w:rPr>
      </w:r>
      <w:r>
        <w:rPr>
          <w:b/>
          <w:bCs/>
        </w:rPr>
      </w:r>
    </w:p>
    <w:p>
      <w:pPr>
        <w:pStyle w:val="1530"/>
        <w:numPr>
          <w:ilvl w:val="0"/>
          <w:numId w:val="79"/>
        </w:numPr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530"/>
        <w:numPr>
          <w:ilvl w:val="0"/>
          <w:numId w:val="79"/>
        </w:numPr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530"/>
        <w:numPr>
          <w:ilvl w:val="0"/>
          <w:numId w:val="79"/>
        </w:numPr>
        <w:ind w:left="0" w:firstLine="709"/>
        <w:jc w:val="both"/>
      </w:pPr>
      <w:r>
        <w:t xml:space="preserve">В техническом предложении на выполнение работ Участником закупки выражается </w:t>
      </w:r>
      <w:r>
        <w:rPr>
          <w:bCs/>
        </w:rPr>
        <w:t xml:space="preserve">согласие на выполнение </w:t>
      </w:r>
      <w:r>
        <w:rPr>
          <w:bCs/>
        </w:rPr>
        <w:t xml:space="preserve">работ в полном соответствии с документацией о закупке, в том числе в соответствии с требованиями «ТЕХНИЧЕСКОЙ ЧАСТИ» и «ПРОЕКТА ДОГОВОРА» документации о закупке. В случае, если участник предлагает какие-либо изменения либо дополнения относительно требовани</w:t>
      </w:r>
      <w:r>
        <w:rPr>
          <w:bCs/>
        </w:rPr>
        <w:t xml:space="preserve">й, изложенных в «ТЕХНИЧЕСКОЙ ЧАСТИ» и «ПРОЕКТЕ ДОГОВОРА», участник должен </w:t>
      </w:r>
      <w:r>
        <w:t xml:space="preserve">подробно и развернуто указать об этом в техническом предложении. В последнем случае в техническом предложении указывается фраза: «</w:t>
      </w:r>
      <w:r>
        <w:rPr>
          <w:bCs/>
        </w:rPr>
        <w:t xml:space="preserve">Настоящим выражаем свое согласие на выполнение работ</w:t>
      </w:r>
      <w:r>
        <w:rPr>
          <w:bCs/>
        </w:rPr>
        <w:t xml:space="preserve"> в соответствии с документацией о закупке, в том числе в соответствии с требованиями «ТЕХНИЧЕСКОЙ ЧАСТИ» и «ПРОЕКТА ДОГОВОРА» документации о закупке с учетом следующих предложений: … (далее </w:t>
      </w:r>
      <w:r>
        <w:t xml:space="preserve">подробно и развернуто указываются предложения</w:t>
      </w:r>
      <w:r>
        <w:rPr>
          <w:bCs/>
        </w:rPr>
        <w:t xml:space="preserve">)</w:t>
      </w:r>
      <w:r>
        <w:t xml:space="preserve">.</w:t>
      </w:r>
      <w:r/>
    </w:p>
    <w:p>
      <w:pPr>
        <w:pStyle w:val="1530"/>
        <w:numPr>
          <w:ilvl w:val="0"/>
          <w:numId w:val="79"/>
        </w:numPr>
        <w:ind w:left="0" w:firstLine="709"/>
        <w:jc w:val="both"/>
      </w:pPr>
      <w:r>
        <w:t xml:space="preserve">Техническое предло</w:t>
      </w:r>
      <w:r>
        <w:t xml:space="preserve">жение на выполнение работ и поставок будет служить основой для подготовки соответствующего приложения к Договору. В этой связи в целях снижения общих затрат сил и времени Заказчика и Участника закупки на подготовку Договора данное предложение следует подго</w:t>
      </w:r>
      <w:r>
        <w:t xml:space="preserve">товить так, чтобы ее можно было с минимальными изменениями включить в Договор.</w:t>
      </w:r>
      <w:r/>
    </w:p>
    <w:p>
      <w:pPr>
        <w:pStyle w:val="1530"/>
        <w:numPr>
          <w:ilvl w:val="0"/>
          <w:numId w:val="79"/>
        </w:numPr>
        <w:ind w:left="0" w:firstLine="709"/>
        <w:jc w:val="both"/>
      </w:pPr>
      <w:r>
        <w:rPr>
          <w:b/>
        </w:rPr>
        <w:t xml:space="preserve">Участник закупки должен приложить файл данной формы, выполненный в редактируемом формате</w:t>
      </w:r>
      <w:r>
        <w:t xml:space="preserve">.</w:t>
      </w:r>
      <w:r/>
    </w:p>
    <w:p>
      <w:pPr>
        <w:pStyle w:val="1530"/>
        <w:numPr>
          <w:ilvl w:val="0"/>
          <w:numId w:val="79"/>
        </w:numPr>
        <w:ind w:left="0" w:firstLine="709"/>
        <w:jc w:val="both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218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58" w:name="_Toc48"/>
      <w:r>
        <w:rPr>
          <w:sz w:val="24"/>
          <w:szCs w:val="24"/>
        </w:rPr>
        <w:t xml:space="preserve">ФОРМА ПИСЬМО О ПОДАЧЕ ОФЕРТЫ</w:t>
      </w:r>
      <w:r>
        <w:rPr>
          <w:sz w:val="24"/>
          <w:szCs w:val="24"/>
        </w:rPr>
      </w:r>
      <w:bookmarkEnd w:id="258"/>
      <w:r/>
      <w:r>
        <w:rPr>
          <w:sz w:val="24"/>
          <w:szCs w:val="24"/>
        </w:rPr>
      </w:r>
    </w:p>
    <w:p>
      <w:pPr>
        <w:jc w:val="center"/>
      </w:pPr>
      <w:r>
        <w:t xml:space="preserve"> (</w:t>
      </w:r>
      <w:r>
        <w:rPr>
          <w:i/>
        </w:rPr>
        <w:t xml:space="preserve">документ изготавливается на фирменном бл</w:t>
      </w:r>
      <w:r>
        <w:rPr>
          <w:i/>
        </w:rPr>
        <w:t xml:space="preserve">анке организации участника закупки (для участников юридических лиц</w:t>
      </w:r>
      <w:r>
        <w:t xml:space="preserve">)</w:t>
      </w:r>
      <w:r/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left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</w:rPr>
      </w:pPr>
      <w:r>
        <w:rPr>
          <w:b/>
        </w:rPr>
        <w:t xml:space="preserve">Письмо о подаче оферты</w:t>
      </w:r>
      <w:r>
        <w:rPr>
          <w:b/>
        </w:rPr>
      </w:r>
      <w:r>
        <w:rPr>
          <w:b/>
        </w:rPr>
      </w:r>
    </w:p>
    <w:p>
      <w:pPr>
        <w:ind w:right="-1"/>
        <w:spacing w:after="0"/>
        <w:tabs>
          <w:tab w:val="left" w:pos="9355" w:leader="none"/>
        </w:tabs>
      </w:pPr>
      <w:r>
        <w:t xml:space="preserve">«_____»___________ 202_ г.                                                                                  №__________</w:t>
      </w:r>
      <w:r/>
    </w:p>
    <w:p>
      <w:pPr>
        <w:jc w:val="left"/>
      </w:pPr>
      <w:r/>
      <w:r/>
    </w:p>
    <w:p>
      <w:pPr>
        <w:jc w:val="center"/>
      </w:pPr>
      <w:r>
        <w:rPr>
          <w:iCs/>
        </w:rPr>
        <w:t xml:space="preserve">Уважаемые господа!</w:t>
      </w:r>
      <w:r/>
    </w:p>
    <w:p>
      <w:pPr>
        <w:ind w:firstLine="567"/>
        <w:spacing w:before="120"/>
        <w:rPr>
          <w:iCs/>
        </w:rPr>
      </w:pPr>
      <w:r>
        <w:rPr>
          <w:iCs/>
        </w:rPr>
        <w:t xml:space="preserve">Изучив извещение и док</w:t>
      </w:r>
      <w:r>
        <w:rPr>
          <w:iCs/>
        </w:rPr>
        <w:t xml:space="preserve">ументацию о закупке (включая все изменения и разъяснения к ней), размещенные в единой информационной системе в сфере закупок по адресу в сети Интернет «www.zakupki.gov.ru» (далее – ЕИС, Официальный сайт) от «___» __________ 202_ года (извещение №__________</w:t>
      </w:r>
      <w:r>
        <w:rPr>
          <w:iCs/>
        </w:rPr>
        <w:t xml:space="preserve">___), и безоговорочно принимая установленные в них требования и условия участия в закупке, в том числе в отношении технического задания, проекта договора, условия о подсудности разрешения споров по договору, порядка заключения договора, заключаемого по ито</w:t>
      </w:r>
      <w:r>
        <w:rPr>
          <w:iCs/>
        </w:rPr>
        <w:t xml:space="preserve">гам закупки, мы, являясь участником процедуры закупки / [или]лидером коллективного участника [выбрать необходимое], предлагаем заключить Договор на: ______________________________________________</w:t>
      </w:r>
      <w:r>
        <w:rPr>
          <w:bCs/>
          <w:i/>
          <w:spacing w:val="-6"/>
        </w:rPr>
        <w:t xml:space="preserve">[</w:t>
      </w:r>
      <w:r>
        <w:rPr>
          <w:bCs/>
          <w:i/>
        </w:rPr>
        <w:t xml:space="preserve">указывается предмет договора в соответствии с пунктом 3 част</w:t>
      </w:r>
      <w:r>
        <w:rPr>
          <w:bCs/>
          <w:i/>
        </w:rPr>
        <w:t xml:space="preserve">и II «ИНФОРМАЦИОННАЯ КАРТА ЗАКУПКИ»</w:t>
      </w:r>
      <w:r>
        <w:rPr>
          <w:bCs/>
          <w:i/>
          <w:spacing w:val="-6"/>
        </w:rPr>
        <w:t xml:space="preserve">]</w:t>
      </w:r>
      <w:r>
        <w:rPr>
          <w:bCs/>
          <w:spacing w:val="-6"/>
        </w:rPr>
        <w:t xml:space="preserve">.</w:t>
      </w:r>
      <w:r>
        <w:rPr>
          <w:iCs/>
        </w:rPr>
      </w:r>
      <w:r>
        <w:rPr>
          <w:iCs/>
        </w:rPr>
      </w:r>
    </w:p>
    <w:p>
      <w:pPr>
        <w:spacing w:after="0"/>
        <w:rPr>
          <w:bCs/>
          <w:i/>
          <w:spacing w:val="-6"/>
        </w:rPr>
      </w:pPr>
      <w:r>
        <w:rPr>
          <w:bCs/>
          <w:i/>
          <w:spacing w:val="-6"/>
        </w:rPr>
      </w:r>
      <w:r>
        <w:rPr>
          <w:bCs/>
          <w:i/>
          <w:spacing w:val="-6"/>
        </w:rPr>
      </w:r>
      <w:r>
        <w:rPr>
          <w:bCs/>
          <w:i/>
          <w:spacing w:val="-6"/>
        </w:rPr>
      </w:r>
    </w:p>
    <w:p>
      <w:pPr>
        <w:ind w:firstLine="567"/>
        <w:spacing w:before="120" w:after="0"/>
        <w:rPr>
          <w:b/>
        </w:rPr>
      </w:pPr>
      <w:r>
        <w:rPr>
          <w:b/>
        </w:rPr>
        <w:t xml:space="preserve">Настоящая заявка имеет правовой статус оферты и действует в течение 90 (девяносто) календарных дней со дня, следующего за днем окончания подачи заявок.</w:t>
      </w:r>
      <w:r>
        <w:rPr>
          <w:b/>
        </w:rPr>
      </w:r>
      <w:r>
        <w:rPr>
          <w:b/>
        </w:rPr>
      </w:r>
    </w:p>
    <w:p>
      <w:pPr>
        <w:ind w:firstLine="567"/>
        <w:spacing w:before="120" w:after="0"/>
      </w:pPr>
      <w:r>
        <w:rPr>
          <w:iCs/>
        </w:rPr>
        <w:t xml:space="preserve">Данная заявка подается с пониманием того, что </w:t>
      </w:r>
      <w:r>
        <w:t xml:space="preserve">вы не отвечаете и не имеете обязательств по нашим расходам, связанным с подготовкой и подачей данной заявки за исключением случаев, прямо оговоренных в законодательстве.</w:t>
      </w:r>
      <w:r/>
    </w:p>
    <w:p>
      <w:pPr>
        <w:ind w:firstLine="567"/>
        <w:spacing w:after="0"/>
      </w:pPr>
      <w:r>
        <w:t xml:space="preserve">______________ (</w:t>
      </w:r>
      <w:r>
        <w:rPr>
          <w:i/>
        </w:rPr>
        <w:t xml:space="preserve">Наименование Участника закупки, при подаче заявки коллективным участни</w:t>
      </w:r>
      <w:r>
        <w:rPr>
          <w:i/>
        </w:rPr>
        <w:t xml:space="preserve">ком указывается Лидер и состав коллективного участника</w:t>
      </w:r>
      <w:r>
        <w:t xml:space="preserve">)</w:t>
      </w:r>
      <w:r>
        <w:rPr>
          <w:iCs/>
        </w:rPr>
        <w:t xml:space="preserve"> </w:t>
      </w:r>
      <w:r>
        <w:t xml:space="preserve">при подаче настоящей оферты принимает на себя следующие обязательства, связанные с подачей заявки: </w:t>
      </w:r>
      <w:r/>
    </w:p>
    <w:p>
      <w:pPr>
        <w:numPr>
          <w:ilvl w:val="0"/>
          <w:numId w:val="80"/>
        </w:numPr>
        <w:ind w:left="0" w:firstLine="567"/>
        <w:spacing w:after="0"/>
        <w:widowControl w:val="off"/>
        <w:tabs>
          <w:tab w:val="left" w:pos="1080" w:leader="none"/>
        </w:tabs>
      </w:pPr>
      <w:r>
        <w:t xml:space="preserve">не изменять (не вносить изменения) и/или не отзывать свою заявку в течение срока ее действия после истечения срока окончания подачи заявок;</w:t>
      </w:r>
      <w:r/>
    </w:p>
    <w:p>
      <w:pPr>
        <w:numPr>
          <w:ilvl w:val="0"/>
          <w:numId w:val="80"/>
        </w:numPr>
        <w:ind w:left="0" w:firstLine="567"/>
        <w:spacing w:after="0"/>
        <w:widowControl w:val="off"/>
        <w:tabs>
          <w:tab w:val="left" w:pos="1080" w:leader="none"/>
        </w:tabs>
      </w:pPr>
      <w:r>
        <w:t xml:space="preserve">предоставлять достоверные и неискаженные документы, сведения и/или информацию, приведенные в составе заявки; </w:t>
      </w:r>
      <w:r/>
    </w:p>
    <w:p>
      <w:pPr>
        <w:numPr>
          <w:ilvl w:val="0"/>
          <w:numId w:val="80"/>
        </w:numPr>
        <w:ind w:left="0" w:firstLine="567"/>
        <w:spacing w:after="0"/>
        <w:widowControl w:val="off"/>
        <w:tabs>
          <w:tab w:val="left" w:pos="1080" w:leader="none"/>
        </w:tabs>
      </w:pPr>
      <w:r>
        <w:t xml:space="preserve">заключ</w:t>
      </w:r>
      <w:r>
        <w:t xml:space="preserve">ить Договор в установленном в документации о закупке порядке, в случае признания ____________________ (</w:t>
      </w:r>
      <w:r>
        <w:rPr>
          <w:i/>
        </w:rPr>
        <w:t xml:space="preserve">Наименование Участника закупки, при подаче заявки коллективным участником указывается Лидер и состав коллективного участника</w:t>
      </w:r>
      <w:r>
        <w:t xml:space="preserve">) Победителем, либо единствен</w:t>
      </w:r>
      <w:r>
        <w:t xml:space="preserve">ным Участником, соответствующим требованиям документации.</w:t>
      </w:r>
      <w:r/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Мы подтверждаем свое согласие участвовать в вышеуказанной закупке на условиях, установленных документацией о закупке, регламентом ЭТП и Положением о закупке, а также выполнить работы на условиях про</w:t>
      </w:r>
      <w:r>
        <w:rPr>
          <w:iCs/>
        </w:rPr>
        <w:t xml:space="preserve">екта договора, представленного в составе документации о закупке, со всеми приложениями к нему.</w:t>
      </w:r>
      <w:r>
        <w:rPr>
          <w:iCs/>
        </w:rPr>
      </w:r>
      <w:r>
        <w:rPr>
          <w:iCs/>
        </w:rPr>
      </w:r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Настоящим подтверждаем, что в отношении </w:t>
      </w:r>
      <w:r>
        <w:t xml:space="preserve">меня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 /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 не проводится процедура ликвидации, отсутствует решен</w:t>
      </w:r>
      <w:r>
        <w:rPr>
          <w:iCs/>
        </w:rPr>
        <w:t xml:space="preserve">ие арбитражного суда о признании несостоятельным (банкротом) </w:t>
      </w:r>
      <w:r>
        <w:t xml:space="preserve">или об открытии конкурсного производства</w:t>
      </w:r>
      <w:r>
        <w:rPr>
          <w:iCs/>
        </w:rPr>
        <w:t xml:space="preserve">, деятельность не приостановлена, а также, что размер задолженности по налогам, сборам и иным обязательным платежам в бюджеты </w:t>
      </w:r>
      <w:r>
        <w:t xml:space="preserve">бюджетной системы Российской </w:t>
      </w:r>
      <w:r>
        <w:t xml:space="preserve">Федерации</w:t>
      </w:r>
      <w:r>
        <w:rPr>
          <w:iCs/>
        </w:rPr>
        <w:t xml:space="preserve"> за прошедший календарный год не превышает 25% (двадцати пяти процентов) балансовой стоимости активов по данным бухгалтерской отчетности за последний завершенный отчетный период.</w:t>
      </w:r>
      <w:r>
        <w:rPr>
          <w:iCs/>
        </w:rPr>
      </w:r>
      <w:r>
        <w:rPr>
          <w:iCs/>
        </w:rPr>
      </w:r>
    </w:p>
    <w:p>
      <w:pPr>
        <w:ind w:firstLine="567"/>
        <w:spacing w:before="120" w:after="0"/>
      </w:pPr>
      <w:r>
        <w:t xml:space="preserve">Также подтверждаем отсутствие у меня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 / у руково</w:t>
      </w:r>
      <w:r>
        <w:t xml:space="preserve">дителя, членов коллегиального исполнительного органа или главного бухгалтера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], </w:t>
      </w:r>
      <w:r>
        <w:t xml:space="preserve">ограничения или лишения дееспособности, неснятой или непогашенной судимости за преступления в сфере экономики, а также неприменение в отно</w:t>
      </w:r>
      <w:r>
        <w:t xml:space="preserve">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и административного наказания в виде дисквалификации.</w:t>
      </w:r>
      <w:r/>
    </w:p>
    <w:p>
      <w:pPr>
        <w:ind w:firstLine="567"/>
        <w:spacing w:before="120" w:after="0"/>
      </w:pPr>
      <w:r>
        <w:t xml:space="preserve">В соответствии с обязател</w:t>
      </w:r>
      <w:r>
        <w:t xml:space="preserve">ьными требованиями к участникам закупки подтверждаем наличие у нас специальных допусков, разрешений, лицензий и прочих разрешительных документов в соответствии с законодательством для исполнения обязательств по предмету договора.</w:t>
      </w:r>
      <w:r/>
    </w:p>
    <w:p>
      <w:pPr>
        <w:ind w:firstLine="567"/>
        <w:spacing w:before="120" w:after="0"/>
      </w:pPr>
      <w:r>
        <w:t xml:space="preserve">В соответствии с дополните</w:t>
      </w:r>
      <w:r>
        <w:t xml:space="preserve">льными требованиями к участникам закупки подтверждаем отсутствие сведений обо мне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/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], </w:t>
      </w:r>
      <w:r>
        <w:t xml:space="preserve">в реестре недобросовестных поставщиков (подрядчиков, исполнителей), предусмотренном Федеральным законом от 18.0</w:t>
      </w:r>
      <w:r>
        <w:t xml:space="preserve">7.2011 № 223-ФЗ «О закупках товаров, работ, услуг отдельными видами юридических лиц»</w:t>
      </w:r>
      <w:r>
        <w:rPr>
          <w:iCs/>
        </w:rPr>
        <w:t xml:space="preserve"> и</w:t>
      </w:r>
      <w:r>
        <w:t xml:space="preserve"> в реестре недобросовестных поставщиков, предусмотренном Федеральным законом от 05.04.2013 N 44-ФЗ «О контрактной системе в сфере закупок товаров, работ, услуг для обеспе</w:t>
      </w:r>
      <w:r>
        <w:t xml:space="preserve">чения государственных и муниципальных нужд».</w:t>
      </w:r>
      <w:r/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В случае признания нас победителем закупки, а также в случае принятия заказчиком решения о заключении с нами договора как </w:t>
      </w:r>
      <w:r>
        <w:t xml:space="preserve">с единственным участником конкурентной закупки </w:t>
      </w:r>
      <w:r>
        <w:rPr>
          <w:iCs/>
        </w:rPr>
        <w:t xml:space="preserve">мы берем на себя обязательства подписать с</w:t>
      </w:r>
      <w:r>
        <w:rPr>
          <w:iCs/>
        </w:rPr>
        <w:t xml:space="preserve">о своей стороны договор в соответствии с требованиями документации о закупке и условиями нашей заявки.</w:t>
      </w:r>
      <w:r>
        <w:rPr>
          <w:iCs/>
        </w:rPr>
      </w:r>
      <w:r>
        <w:rPr>
          <w:iCs/>
        </w:rPr>
      </w:r>
    </w:p>
    <w:p>
      <w:pPr>
        <w:ind w:firstLine="567"/>
        <w:spacing w:before="120"/>
        <w:rPr>
          <w:iCs/>
        </w:rPr>
      </w:pPr>
      <w:r>
        <w:rPr>
          <w:iCs/>
        </w:rPr>
        <w:t xml:space="preserve">В случае если нашей заявке будет присвоен второй номер, а победитель закупки будет отстранен либо признан уклонившимся от заключения договора с заказчико</w:t>
      </w:r>
      <w:r>
        <w:rPr>
          <w:iCs/>
        </w:rPr>
        <w:t xml:space="preserve">м, мы обязуемся подписать данный договор в соответствии с требованиями документации о закупке и условиями нашей заявки.</w:t>
      </w:r>
      <w:r>
        <w:rPr>
          <w:iCs/>
        </w:rPr>
      </w:r>
      <w:r>
        <w:rPr>
          <w:iCs/>
        </w:rPr>
      </w:r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учредительными документами решение об </w:t>
      </w:r>
      <w:r>
        <w:t xml:space="preserve">одобрении и/или о совершении крупной сделки в связи с </w:t>
      </w:r>
      <w:r>
        <w:t xml:space="preserve">заключением договора на условиях нашей заявки не требуется.</w:t>
      </w:r>
      <w:r>
        <w:rPr>
          <w:rStyle w:val="1420"/>
        </w:rPr>
        <w:footnoteReference w:id="18"/>
      </w:r>
      <w:r/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учредительными документами решение об </w:t>
      </w:r>
      <w:r>
        <w:t xml:space="preserve">одобрении и/или о совершении сделки с заинтересованностью в связи с заключением договора на условиях нашей заявки</w:t>
      </w:r>
      <w:r>
        <w:t xml:space="preserve"> не требуется.</w:t>
      </w:r>
      <w:r>
        <w:rPr>
          <w:rStyle w:val="1420"/>
        </w:rPr>
        <w:footnoteReference w:id="19"/>
      </w:r>
      <w:r/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учредительными документами, указаниями собственника, иных органов управления подтверждает соблюдение порядка совершения сделки, в том числе получения предварительного согласия (одобрения, согласов</w:t>
      </w:r>
      <w:r>
        <w:rPr>
          <w:iCs/>
        </w:rPr>
        <w:t xml:space="preserve">ания) сделки и соблюдения всех требуемых корпоративных требований.</w:t>
      </w:r>
      <w:r>
        <w:rPr>
          <w:rStyle w:val="1420"/>
          <w:iCs/>
        </w:rPr>
        <w:footnoteReference w:id="20"/>
      </w:r>
      <w:r/>
    </w:p>
    <w:p>
      <w:pPr>
        <w:ind w:firstLine="567"/>
        <w:spacing w:before="120" w:after="0"/>
        <w:rPr>
          <w:iCs/>
        </w:rPr>
      </w:pPr>
      <w:r>
        <w:t xml:space="preserve">Настоящей заявкой гарантируем достоверность представленной нами информации и подтверждаем право Организатора закупки (Заказчика), не противоречащее требованию о формировании равных для все</w:t>
      </w:r>
      <w:r>
        <w:t xml:space="preserve">х Участников закупки условий, запрашивать у нас, в уполномоченных органах власти и в упомянутых в нашей заявке юридических и физических лиц информацию, уточняющую представленные нами в ней сведения.</w:t>
      </w:r>
      <w:r>
        <w:rPr>
          <w:iCs/>
        </w:rPr>
      </w:r>
      <w:r>
        <w:rPr>
          <w:iCs/>
        </w:rPr>
      </w:r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firstLine="567"/>
        <w:jc w:val="left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530"/>
        <w:numPr>
          <w:ilvl w:val="0"/>
          <w:numId w:val="81"/>
        </w:numPr>
        <w:ind w:left="0" w:firstLine="709"/>
        <w:jc w:val="both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pStyle w:val="1530"/>
        <w:numPr>
          <w:ilvl w:val="0"/>
          <w:numId w:val="81"/>
        </w:numPr>
        <w:ind w:left="0" w:firstLine="709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pStyle w:val="1530"/>
        <w:numPr>
          <w:ilvl w:val="0"/>
          <w:numId w:val="81"/>
        </w:numPr>
        <w:ind w:left="0" w:firstLine="709"/>
        <w:jc w:val="both"/>
      </w:pPr>
      <w:r>
        <w:t xml:space="preserve">Участник закупки приводит наименования юридического лица и адреса места нахождения, либо фамилию, и</w:t>
      </w:r>
      <w:r>
        <w:t xml:space="preserve">мя, отчество, паспортные данные, адрес прописки (адрес регистрации) физического лица, в том числе индивидуального предпринимателя.</w:t>
      </w:r>
      <w:r/>
    </w:p>
    <w:p>
      <w:pPr>
        <w:pStyle w:val="1530"/>
        <w:numPr>
          <w:ilvl w:val="0"/>
          <w:numId w:val="81"/>
        </w:numPr>
        <w:ind w:left="0" w:firstLine="709"/>
        <w:jc w:val="both"/>
      </w:pPr>
      <w:r>
        <w:t xml:space="preserve">Форма составляется на фирменном бланке Участника закупки.</w:t>
      </w:r>
      <w:r/>
    </w:p>
    <w:p>
      <w:pPr>
        <w:pStyle w:val="1530"/>
        <w:numPr>
          <w:ilvl w:val="0"/>
          <w:numId w:val="81"/>
        </w:numPr>
        <w:ind w:left="0" w:firstLine="709"/>
        <w:jc w:val="both"/>
      </w:pPr>
      <w:r>
        <w:rPr>
          <w:b/>
        </w:rPr>
        <w:t xml:space="preserve">Участник закупки должен приложить файл данной формы, выполненный в </w:t>
      </w:r>
      <w:r>
        <w:rPr>
          <w:b/>
        </w:rPr>
        <w:t xml:space="preserve">редактируемом формате</w:t>
      </w:r>
      <w:r>
        <w:t xml:space="preserve">.</w:t>
      </w:r>
      <w:r>
        <w:rPr>
          <w:b/>
          <w:bCs/>
        </w:rPr>
        <w:br w:type="page" w:clear="all"/>
      </w:r>
      <w:r/>
    </w:p>
    <w:p>
      <w:pPr>
        <w:pStyle w:val="1218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59" w:name="_Toc49"/>
      <w:r>
        <w:rPr>
          <w:sz w:val="24"/>
          <w:szCs w:val="24"/>
        </w:rPr>
        <w:t xml:space="preserve">ФОРМА ПЛАН РАСПРЕДЕЛЕНИЯ ОБЪЕМОВ ВЫПОЛНЕНИЯ РАБОТ/ОКАЗАНИЯ УСЛУГ МЕЖДУ ЧЛЕНАМИ КОЛЛЕКТИВНОГО УЧАСТНИКА (КОНСОРЦИУМА, ПРОСТОГО ТОВАРИЩЕСТВА)</w:t>
      </w:r>
      <w:r>
        <w:rPr>
          <w:sz w:val="24"/>
          <w:szCs w:val="24"/>
        </w:rPr>
      </w:r>
      <w:bookmarkEnd w:id="259"/>
      <w:r/>
      <w:r>
        <w:rPr>
          <w:sz w:val="24"/>
          <w:szCs w:val="24"/>
        </w:rPr>
      </w:r>
    </w:p>
    <w:p>
      <w:pPr>
        <w:ind w:left="-142"/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-142"/>
        <w:jc w:val="center"/>
        <w:spacing w:after="0"/>
        <w:rPr>
          <w:b/>
          <w:bCs/>
        </w:rPr>
      </w:pPr>
      <w:r>
        <w:rPr>
          <w:b/>
        </w:rPr>
        <w:t xml:space="preserve">План распределения объемов выполнения работ/оказания услуг между членами коллективного учас</w:t>
      </w:r>
      <w:r>
        <w:rPr>
          <w:b/>
        </w:rPr>
        <w:t xml:space="preserve">тника (консорциума, простого товарищества)</w:t>
      </w:r>
      <w:r>
        <w:rPr>
          <w:b/>
          <w:bCs/>
        </w:rPr>
      </w:r>
      <w:r>
        <w:rPr>
          <w:b/>
          <w:bCs/>
        </w:rPr>
      </w:r>
    </w:p>
    <w:p>
      <w:pPr>
        <w:ind w:left="-142"/>
        <w:spacing w:after="0"/>
      </w:pPr>
      <w:r/>
      <w:r/>
    </w:p>
    <w:p>
      <w:pPr>
        <w:ind w:left="-142"/>
        <w:spacing w:after="0"/>
      </w:pPr>
      <w:r/>
      <w:r/>
    </w:p>
    <w:p>
      <w:pPr>
        <w:spacing w:after="0"/>
      </w:pPr>
      <w:r>
        <w:t xml:space="preserve">Наименование закупки __________________________________ Лот № _________________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</w:t>
      </w:r>
      <w:r/>
    </w:p>
    <w:p>
      <w:pPr>
        <w:spacing w:after="0"/>
      </w:pPr>
      <w:r>
        <w:t xml:space="preserve">Наименование участника закупки (Лидера коллективно</w:t>
      </w:r>
      <w:r>
        <w:t xml:space="preserve">го участника): _________________</w:t>
      </w:r>
      <w:r/>
    </w:p>
    <w:p>
      <w:pPr>
        <w:spacing w:after="0"/>
      </w:pPr>
      <w:r>
        <w:t xml:space="preserve">Юридический адрес участника закупки (Лидера коллективного участника): ____________</w:t>
      </w:r>
      <w:r/>
    </w:p>
    <w:p>
      <w:pPr>
        <w:spacing w:before="240"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(№1)</w:t>
      </w:r>
      <w:r>
        <w:t xml:space="preserve">: ____________________</w:t>
      </w:r>
      <w:r/>
    </w:p>
    <w:p>
      <w:pPr>
        <w:spacing w:after="0"/>
      </w:pPr>
      <w:r>
        <w:t xml:space="preserve">Юридический адрес организации члена коллективного участник</w:t>
      </w:r>
      <w:r>
        <w:t xml:space="preserve">а: ____________________</w:t>
      </w:r>
      <w:r/>
    </w:p>
    <w:p>
      <w:pPr>
        <w:spacing w:before="240"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(№2)</w:t>
      </w:r>
      <w:r>
        <w:t xml:space="preserve">: ____________________</w:t>
      </w:r>
      <w:r/>
    </w:p>
    <w:p>
      <w:pPr>
        <w:spacing w:after="0"/>
      </w:pPr>
      <w:r>
        <w:t xml:space="preserve">Юридический адрес организации члена коллективного участника: ____________________</w:t>
      </w:r>
      <w:r/>
    </w:p>
    <w:p>
      <w:pPr>
        <w:spacing w:before="240"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(№Х)</w:t>
      </w:r>
      <w:r>
        <w:t xml:space="preserve">: _______</w:t>
      </w:r>
      <w:r>
        <w:t xml:space="preserve">_____________</w:t>
      </w:r>
      <w:r/>
    </w:p>
    <w:p>
      <w:pPr>
        <w:spacing w:after="0"/>
      </w:pPr>
      <w:r>
        <w:t xml:space="preserve">Юридический адрес организации члена коллективного участника: ____________________</w:t>
      </w:r>
      <w:r/>
    </w:p>
    <w:p>
      <w:pPr>
        <w:spacing w:after="0"/>
      </w:pPr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645"/>
        <w:gridCol w:w="1760"/>
        <w:gridCol w:w="1985"/>
        <w:gridCol w:w="3402"/>
        <w:gridCol w:w="1556"/>
      </w:tblGrid>
      <w:tr>
        <w:tblPrEx/>
        <w:trPr>
          <w:trHeight w:val="1988"/>
        </w:trPr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517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517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517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организации, выполняющий данный объем 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17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работ и поставок в % от общей стоимости 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51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(выражается исключительно в процентах от общей стоимости работ предлагаемой участником в ценовом предложении)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17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выполнения (начало и окончание)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519"/>
              <w:numPr>
                <w:ilvl w:val="0"/>
                <w:numId w:val="82"/>
              </w:numPr>
              <w:ind w:left="0"/>
            </w:pPr>
            <w:r/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519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519"/>
            </w:pPr>
            <w:r/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19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19"/>
            </w:pPr>
            <w:r/>
            <w:r/>
          </w:p>
        </w:tc>
      </w:tr>
      <w:tr>
        <w:tblPrEx/>
        <w:trPr/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519"/>
              <w:numPr>
                <w:ilvl w:val="0"/>
                <w:numId w:val="82"/>
              </w:numPr>
              <w:ind w:left="0"/>
            </w:pPr>
            <w:r/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519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519"/>
            </w:pPr>
            <w:r/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19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19"/>
            </w:pPr>
            <w:r/>
            <w:r/>
          </w:p>
        </w:tc>
      </w:tr>
      <w:tr>
        <w:tblPrEx/>
        <w:trPr/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519"/>
              <w:ind w:left="0"/>
            </w:pPr>
            <w:r>
              <w:t xml:space="preserve">…</w:t>
            </w:r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519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519"/>
            </w:pPr>
            <w:r/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19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19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по Лидеру коллективного Участника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19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19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по Члену коллективного Участника № 1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19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19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по Члену коллективного Участника № 2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19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19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19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19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pStyle w:val="1519"/>
              <w:jc w:val="center"/>
              <w:rPr>
                <w:b/>
              </w:rPr>
            </w:pPr>
            <w:r>
              <w:rPr>
                <w:b/>
              </w:rPr>
              <w:t xml:space="preserve">ИТОГО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19"/>
              <w:jc w:val="center"/>
              <w:rPr>
                <w:b/>
              </w:rPr>
            </w:pPr>
            <w:r>
              <w:rPr>
                <w:b/>
              </w:rPr>
              <w:t xml:space="preserve">100%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19"/>
              <w:jc w:val="center"/>
              <w:rPr>
                <w:b/>
              </w:rPr>
            </w:pPr>
            <w:r>
              <w:rPr>
                <w:b/>
              </w:rPr>
              <w:t xml:space="preserve">Х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  <w:rPr>
          <w:b/>
          <w:bCs/>
        </w:rPr>
      </w:pPr>
      <w:r>
        <w:rPr>
          <w:b/>
          <w:bCs/>
        </w:rPr>
        <w:t xml:space="preserve">м.п.</w:t>
      </w:r>
      <w:r>
        <w:rPr>
          <w:b/>
          <w:bCs/>
        </w:rPr>
      </w:r>
      <w:r>
        <w:rPr>
          <w:b/>
          <w:bCs/>
        </w:rPr>
      </w:r>
    </w:p>
    <w:p>
      <w:pPr>
        <w:ind w:right="4111"/>
        <w:spacing w:after="0"/>
      </w:pPr>
      <w:r/>
      <w:r/>
    </w:p>
    <w:p>
      <w:pPr>
        <w:spacing w:after="0"/>
      </w:pPr>
      <w:r/>
      <w:r/>
    </w:p>
    <w:p>
      <w:pPr>
        <w:spacing w:after="0"/>
      </w:pPr>
      <w:r/>
      <w:r/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530"/>
        <w:numPr>
          <w:ilvl w:val="0"/>
          <w:numId w:val="83"/>
        </w:numPr>
        <w:ind w:left="0" w:firstLine="709"/>
        <w:jc w:val="both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pStyle w:val="1530"/>
        <w:numPr>
          <w:ilvl w:val="0"/>
          <w:numId w:val="83"/>
        </w:numPr>
        <w:ind w:left="0" w:firstLine="709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pStyle w:val="1530"/>
        <w:numPr>
          <w:ilvl w:val="0"/>
          <w:numId w:val="83"/>
        </w:numPr>
        <w:ind w:left="0" w:firstLine="709"/>
        <w:jc w:val="both"/>
      </w:pPr>
      <w:r>
        <w:t xml:space="preserve">Участн</w:t>
      </w:r>
      <w:r>
        <w:t xml:space="preserve">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 Лидера коллективного участника.</w:t>
      </w:r>
      <w:r/>
    </w:p>
    <w:p>
      <w:pPr>
        <w:pStyle w:val="1530"/>
        <w:numPr>
          <w:ilvl w:val="0"/>
          <w:numId w:val="83"/>
        </w:numPr>
        <w:ind w:left="0" w:firstLine="709"/>
        <w:jc w:val="both"/>
      </w:pPr>
      <w:r>
        <w:t xml:space="preserve">У</w:t>
      </w:r>
      <w:r>
        <w:t xml:space="preserve">частник закупки приводит наименования юридических лиц и адреса мест нахождения, либо фамилии, имена, отчества, паспортные данные, адреса прописки (адреса регистрации) физических лиц, в том числе индивидуальных предпринимателей, членов коллективного участни</w:t>
      </w:r>
      <w:r>
        <w:t xml:space="preserve">ка.</w:t>
      </w:r>
      <w:r/>
    </w:p>
    <w:p>
      <w:pPr>
        <w:pStyle w:val="1530"/>
        <w:numPr>
          <w:ilvl w:val="0"/>
          <w:numId w:val="83"/>
        </w:numPr>
        <w:ind w:left="0" w:firstLine="709"/>
        <w:jc w:val="both"/>
      </w:pPr>
      <w:r>
        <w:t xml:space="preserve">Форма составляется на фирменном бланке Участника закупки.</w:t>
      </w:r>
      <w:r/>
    </w:p>
    <w:p>
      <w:pPr>
        <w:pStyle w:val="1530"/>
        <w:numPr>
          <w:ilvl w:val="0"/>
          <w:numId w:val="83"/>
        </w:numPr>
        <w:ind w:left="0" w:firstLine="709"/>
        <w:jc w:val="both"/>
      </w:pPr>
      <w:r>
        <w:rPr>
          <w:b/>
        </w:rPr>
        <w:t xml:space="preserve">Данная форма заполняется и предоставляется в случае участия коллективных участников</w:t>
      </w:r>
      <w:r>
        <w:t xml:space="preserve">.</w:t>
      </w:r>
      <w:r/>
    </w:p>
    <w:p>
      <w:pPr>
        <w:pStyle w:val="1530"/>
        <w:ind w:left="426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left"/>
        <w:spacing w:after="0"/>
      </w:pPr>
      <w:r>
        <w:br w:type="page" w:clear="all"/>
      </w:r>
      <w:r/>
    </w:p>
    <w:p>
      <w:pPr>
        <w:pStyle w:val="1218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260" w:name="_Toc50"/>
      <w:r>
        <w:rPr>
          <w:sz w:val="24"/>
          <w:szCs w:val="24"/>
        </w:rPr>
        <w:t xml:space="preserve">ФОРМА АНКЕТА УЧАСТНИКА ЗАКУПКИ</w:t>
      </w:r>
      <w:r>
        <w:rPr>
          <w:sz w:val="24"/>
          <w:szCs w:val="24"/>
        </w:rPr>
      </w:r>
      <w:bookmarkEnd w:id="260"/>
      <w:r/>
      <w:r>
        <w:rPr>
          <w:sz w:val="24"/>
          <w:szCs w:val="24"/>
        </w:rPr>
      </w:r>
    </w:p>
    <w:p>
      <w:pPr>
        <w:jc w:val="left"/>
        <w:spacing w:after="0"/>
      </w:pPr>
      <w:r/>
      <w:r/>
    </w:p>
    <w:p>
      <w:pPr>
        <w:jc w:val="center"/>
        <w:spacing w:after="0"/>
      </w:pPr>
      <w:r>
        <w:rPr>
          <w:b/>
          <w:iCs/>
        </w:rPr>
        <w:t xml:space="preserve">АНКЕТА УЧАСТНИКА</w:t>
      </w:r>
      <w:r/>
    </w:p>
    <w:p>
      <w:pPr>
        <w:jc w:val="left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</w:t>
      </w:r>
      <w:r>
        <w:t xml:space="preserve">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 _________</w:t>
      </w:r>
      <w:r>
        <w:t xml:space="preserve">________________</w:t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00" w:firstRow="0" w:lastRow="0" w:firstColumn="0" w:lastColumn="0" w:noHBand="0" w:noVBand="0"/>
      </w:tblPr>
      <w:tblGrid>
        <w:gridCol w:w="737"/>
        <w:gridCol w:w="5869"/>
        <w:gridCol w:w="2968"/>
      </w:tblGrid>
      <w:tr>
        <w:tblPrEx/>
        <w:trPr>
          <w:cantSplit/>
          <w:trHeight w:val="240"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№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Наименование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Сведения об Участнике закупки</w:t>
            </w:r>
            <w:r/>
          </w:p>
        </w:tc>
      </w:tr>
      <w:tr>
        <w:tblPrEx/>
        <w:trPr>
          <w:cantSplit/>
          <w:trHeight w:val="471"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Фирменное наименование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Организационно - правовая форма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3.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4.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Стоимость основных фондов (по балансу последнего завершенного периода)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5.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Свидетельство о внесении в Единый государственный реестр юридических лиц/Единый государственный реестр индивидуальных предпринимателей (дата и номер, кем выдано)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6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Виды деятельно</w:t>
            </w:r>
            <w:r>
              <w:t xml:space="preserve">сти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7.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ИНН 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8.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КПП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9.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среднесписочной численности (на последнюю отчетную дату)</w:t>
            </w:r>
            <w:r>
              <w:rPr>
                <w:vertAlign w:val="superscript"/>
              </w:rPr>
              <w:footnoteReference w:id="21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10.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наличии (отсутствии) нарушений требований Налогового кодекса РФ (в текущем году и двум предшествующим годам)</w:t>
            </w:r>
            <w:r>
              <w:rPr>
                <w:vertAlign w:val="superscript"/>
              </w:rPr>
              <w:footnoteReference w:id="22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11.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наличии (отсутствии) просроченных невыполненных обязательств   перед ГК «Россети» (при наличии, указать сумму и наименование компании)</w:t>
            </w:r>
            <w:r>
              <w:rPr>
                <w:vertAlign w:val="superscript"/>
              </w:rPr>
              <w:footnoteReference w:id="23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12.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>
              <w:rPr>
                <w:vertAlign w:val="superscript"/>
              </w:rPr>
              <w:footnoteReference w:id="24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13.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Юридич</w:t>
            </w:r>
            <w:r>
              <w:t xml:space="preserve">еский адрес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14.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Почтовый адрес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15.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Фактическое местоположение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16.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Филиалы: перечислить наименования и почтовые адреса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17.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18.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Телефоны Участника закупки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  <w:trHeight w:val="116"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19.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Факс Участника закупки (с указанием кода города)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20.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Адрес электронной почты Участника закупки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21.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Фамилия, Имя и Отчество руководителя Участника, имеющего право подписи согласно учредительным документам Участника закупки, с указанием должности и контактного телефона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22.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Фамилия, Имя и Отчество ответственного лица Участника закупки с указанием должности и контактного телефона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pPr>
        <w:spacing w:after="0"/>
      </w:pPr>
      <w:r/>
      <w:r/>
    </w:p>
    <w:p>
      <w:pPr>
        <w:spacing w:after="0"/>
      </w:pPr>
      <w:r/>
      <w:r/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530"/>
        <w:numPr>
          <w:ilvl w:val="0"/>
          <w:numId w:val="84"/>
        </w:numPr>
        <w:ind w:left="0" w:firstLine="709"/>
        <w:jc w:val="both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pStyle w:val="1530"/>
        <w:numPr>
          <w:ilvl w:val="0"/>
          <w:numId w:val="84"/>
        </w:numPr>
        <w:ind w:left="0" w:firstLine="709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pStyle w:val="1530"/>
        <w:numPr>
          <w:ilvl w:val="0"/>
          <w:numId w:val="84"/>
        </w:numPr>
        <w:ind w:left="0" w:firstLine="709"/>
        <w:jc w:val="both"/>
      </w:pPr>
      <w:r>
        <w:t xml:space="preserve">Участн</w:t>
      </w:r>
      <w:r>
        <w:t xml:space="preserve">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предпринимателя.</w:t>
      </w:r>
      <w:r/>
    </w:p>
    <w:p>
      <w:pPr>
        <w:pStyle w:val="1530"/>
        <w:numPr>
          <w:ilvl w:val="0"/>
          <w:numId w:val="84"/>
        </w:numPr>
        <w:ind w:left="0" w:firstLine="709"/>
        <w:jc w:val="both"/>
      </w:pPr>
      <w:r>
        <w:t xml:space="preserve">Форма составляется на фирменном </w:t>
      </w:r>
      <w:r>
        <w:t xml:space="preserve">бланке Участника закупки.</w:t>
      </w:r>
      <w:r/>
    </w:p>
    <w:p>
      <w:pPr>
        <w:pStyle w:val="1530"/>
        <w:numPr>
          <w:ilvl w:val="0"/>
          <w:numId w:val="84"/>
        </w:numPr>
        <w:ind w:left="0" w:firstLine="709"/>
        <w:jc w:val="both"/>
      </w:pPr>
      <w:r>
        <w:t xml:space="preserve">Участник закупки должен заполнить приведенную выше первую таблицу по всем позициям. В случае отсутствия каких-либо данных указать слово «нет данных».</w:t>
      </w:r>
      <w:r/>
    </w:p>
    <w:p>
      <w:pPr>
        <w:pStyle w:val="1530"/>
        <w:numPr>
          <w:ilvl w:val="0"/>
          <w:numId w:val="84"/>
        </w:numPr>
        <w:ind w:left="0" w:firstLine="709"/>
        <w:jc w:val="both"/>
      </w:pPr>
      <w:r>
        <w:t xml:space="preserve">В №п/п 21 «Банковские реквизиты…» указываются реквизиты, которые будут использов</w:t>
      </w:r>
      <w:r>
        <w:t xml:space="preserve">аны при заключении Договора.</w:t>
      </w:r>
      <w:r/>
    </w:p>
    <w:p>
      <w:pPr>
        <w:pStyle w:val="1530"/>
        <w:numPr>
          <w:ilvl w:val="0"/>
          <w:numId w:val="84"/>
        </w:numPr>
        <w:ind w:left="0" w:firstLine="709"/>
        <w:jc w:val="both"/>
      </w:pPr>
      <w:r>
        <w:t xml:space="preserve">Графа 12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</w:t>
      </w:r>
      <w:r>
        <w:t xml:space="preserve">ости Российской Федерации» заполняется в соответствии с ниже приведенным </w:t>
      </w:r>
      <w:r>
        <w:rPr>
          <w:b/>
        </w:rPr>
        <w:t xml:space="preserve">Перечнем публичных должностных лиц</w:t>
      </w:r>
      <w:r>
        <w:t xml:space="preserve">.</w:t>
      </w:r>
      <w:r/>
    </w:p>
    <w:p>
      <w:pPr>
        <w:pStyle w:val="1530"/>
        <w:numPr>
          <w:ilvl w:val="0"/>
          <w:numId w:val="84"/>
        </w:numPr>
        <w:ind w:left="0" w:firstLine="709"/>
        <w:jc w:val="both"/>
      </w:pPr>
      <w:r>
        <w:t xml:space="preserve">информация по вопросам 1, 2, 3 и 4 заполняется в соответствии с требованиями, указанными непосредственно в данных вопросах.</w:t>
      </w:r>
      <w:r/>
    </w:p>
    <w:p>
      <w:pPr>
        <w:pStyle w:val="1530"/>
        <w:numPr>
          <w:ilvl w:val="0"/>
          <w:numId w:val="84"/>
        </w:numPr>
        <w:ind w:left="0" w:firstLine="709"/>
        <w:jc w:val="both"/>
      </w:pPr>
      <w:r>
        <w:rPr>
          <w:b/>
        </w:rPr>
        <w:t xml:space="preserve">Участник закупки должен</w:t>
      </w:r>
      <w:r>
        <w:rPr>
          <w:b/>
        </w:rPr>
        <w:t xml:space="preserve"> приложить файл данной формы, выполненный в редактируемом формате</w:t>
      </w:r>
      <w:r>
        <w:t xml:space="preserve">.</w:t>
      </w:r>
      <w:r/>
    </w:p>
    <w:p>
      <w:pPr>
        <w:ind w:firstLine="539"/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ind w:firstLine="539"/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ind w:firstLine="539"/>
        <w:jc w:val="right"/>
        <w:rPr>
          <w:b/>
          <w:bCs/>
          <w:sz w:val="21"/>
          <w:szCs w:val="21"/>
        </w:rPr>
      </w:pPr>
      <w:r>
        <w:rPr>
          <w:b/>
          <w:sz w:val="21"/>
          <w:szCs w:val="21"/>
        </w:rPr>
        <w:t xml:space="preserve">Приложение к Анкете Участника закупки</w:t>
      </w: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ind w:firstLine="539"/>
        <w:jc w:val="right"/>
        <w:rPr>
          <w:b/>
          <w:sz w:val="21"/>
          <w:szCs w:val="21"/>
        </w:rPr>
      </w:pPr>
      <w:r>
        <w:rPr>
          <w:b/>
          <w:sz w:val="21"/>
          <w:szCs w:val="21"/>
        </w:rPr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ind w:firstLine="539"/>
        <w:jc w:val="center"/>
        <w:spacing w:line="276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Перечень публичных должностных лиц</w:t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Организациям и их работникам следует принимать во внимание, что к ним могут применяться нормы и санкции, установл</w:t>
      </w:r>
      <w:r>
        <w:rPr>
          <w:sz w:val="21"/>
          <w:szCs w:val="21"/>
        </w:rPr>
        <w:t xml:space="preserve">енные не только российским, но и зарубежным антикоррупционным законодательством, в соответствии с </w:t>
      </w:r>
      <w:hyperlink r:id="rId52" w:tooltip="consultantplus://offline/ref=B7E04B8F5BC345C22463EADCAE81D93CF0C11310A0643D58FEE589F49Ff2C9L" w:history="1">
        <w:r>
          <w:rPr>
            <w:sz w:val="21"/>
            <w:szCs w:val="21"/>
          </w:rPr>
          <w:t xml:space="preserve">Конвенцией</w:t>
        </w:r>
      </w:hyperlink>
      <w:r>
        <w:rPr>
          <w:sz w:val="21"/>
          <w:szCs w:val="21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Российская Федерация ратифицировала </w:t>
      </w:r>
      <w:hyperlink r:id="rId53" w:tooltip="consultantplus://offline/ref=B7E04B8F5BC345C22463EADCAE81D93CF0C11310A0643D58FEE589F49Ff2C9L" w:history="1">
        <w:r>
          <w:rPr>
            <w:sz w:val="21"/>
            <w:szCs w:val="21"/>
          </w:rPr>
          <w:t xml:space="preserve">Конвенцию</w:t>
        </w:r>
      </w:hyperlink>
      <w:r>
        <w:rPr>
          <w:sz w:val="21"/>
          <w:szCs w:val="21"/>
        </w:rPr>
        <w:t xml:space="preserve"> ООН против коррупции в 2006 году (8 марта 2006 года принят Федеральный </w:t>
      </w:r>
      <w:hyperlink r:id="rId54" w:tooltip="consultantplus://offline/ref=B7E04B8F5BC345C22463EADCAE81D93CF4CA1215A36F6052F6BC85F6f9C8L" w:history="1">
        <w:r>
          <w:rPr>
            <w:sz w:val="21"/>
            <w:szCs w:val="21"/>
          </w:rPr>
          <w:t xml:space="preserve">закон</w:t>
        </w:r>
      </w:hyperlink>
      <w:r>
        <w:rPr>
          <w:sz w:val="21"/>
          <w:szCs w:val="21"/>
        </w:rPr>
        <w:t xml:space="preserve"> № 40-ФЗ «О ратификации Конвенции Организации Объе</w:t>
      </w:r>
      <w:r>
        <w:rPr>
          <w:sz w:val="21"/>
          <w:szCs w:val="21"/>
        </w:rPr>
        <w:t xml:space="preserve">диненных Наций против коррупции»).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 xml:space="preserve">В соответствии со ст.12 Конвенции одной из мер по предупреждению коррупции является в том числе предупреждение возникновения конфликта интересов посредством установления ограничений на трудоустройство для бывших публичных</w:t>
      </w:r>
      <w:r>
        <w:rPr>
          <w:rFonts w:eastAsia="Calibri"/>
          <w:sz w:val="21"/>
          <w:szCs w:val="21"/>
          <w:lang w:eastAsia="en-US"/>
        </w:rPr>
        <w:t xml:space="preserve"> должностных лиц.</w:t>
      </w:r>
      <w:r>
        <w:rPr>
          <w:rFonts w:eastAsia="Calibri"/>
          <w:sz w:val="21"/>
          <w:szCs w:val="21"/>
          <w:lang w:eastAsia="en-US"/>
        </w:rPr>
      </w:r>
      <w:r>
        <w:rPr>
          <w:rFonts w:eastAsia="Calibri"/>
          <w:sz w:val="21"/>
          <w:szCs w:val="21"/>
          <w:lang w:eastAsia="en-US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1. ПУБЛИЧНОЕ ДОЛЖНОСТНОЕ ЛИЦО (ПДЛ)</w:t>
      </w:r>
      <w:r>
        <w:rPr>
          <w:sz w:val="21"/>
          <w:szCs w:val="21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</w:t>
      </w:r>
      <w:r>
        <w:rPr>
          <w:sz w:val="21"/>
          <w:szCs w:val="21"/>
        </w:rPr>
        <w:t xml:space="preserve">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</w:t>
      </w:r>
      <w:r>
        <w:rPr>
          <w:sz w:val="21"/>
          <w:szCs w:val="21"/>
        </w:rPr>
        <w:t xml:space="preserve">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</w:t>
      </w:r>
      <w:r>
        <w:rPr>
          <w:sz w:val="21"/>
          <w:szCs w:val="21"/>
        </w:rPr>
        <w:t xml:space="preserve"> основании федеральных законов, включенные в перечни должностей, определяемые Президентом Российской Федерации.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2.</w:t>
      </w:r>
      <w:r>
        <w:rPr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ИНОСТРАННОЕ ПУБЛИЧНОЕ ДОЛЖНОСТНОЕ ЛИЦО (ИПДЛ)</w:t>
      </w:r>
      <w:r>
        <w:rPr>
          <w:sz w:val="21"/>
          <w:szCs w:val="21"/>
        </w:rPr>
        <w:t xml:space="preserve"> – физическое лицо, вне зависимости от его гражданства, на которого возложено или было возложен</w:t>
      </w:r>
      <w:r>
        <w:rPr>
          <w:sz w:val="21"/>
          <w:szCs w:val="21"/>
        </w:rPr>
        <w:t xml:space="preserve">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В соответствии с рекомендациями международных организаций и з</w:t>
      </w:r>
      <w:r>
        <w:rPr>
          <w:sz w:val="21"/>
          <w:szCs w:val="21"/>
        </w:rPr>
        <w:t xml:space="preserve">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</w:t>
      </w:r>
      <w:r>
        <w:rPr>
          <w:sz w:val="21"/>
          <w:szCs w:val="21"/>
        </w:rPr>
        <w:t xml:space="preserve">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</w:t>
      </w:r>
      <w:r>
        <w:rPr>
          <w:sz w:val="21"/>
          <w:szCs w:val="21"/>
        </w:rPr>
        <w:t xml:space="preserve">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</w:t>
      </w:r>
      <w:r>
        <w:rPr>
          <w:sz w:val="21"/>
          <w:szCs w:val="21"/>
        </w:rPr>
        <w:t xml:space="preserve">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</w:t>
      </w:r>
      <w:r>
        <w:rPr>
          <w:sz w:val="21"/>
          <w:szCs w:val="21"/>
        </w:rPr>
        <w:t xml:space="preserve">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</w:t>
      </w:r>
      <w:r>
        <w:rPr>
          <w:sz w:val="21"/>
          <w:szCs w:val="21"/>
        </w:rPr>
        <w:t xml:space="preserve">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3. РОССИЙСКИЕ ПУБЛИЧНЫЕ ДОЛЖНОСТНЫЕ ЛИЦА (РПДЛ)</w:t>
      </w:r>
      <w:r>
        <w:rPr>
          <w:sz w:val="21"/>
          <w:szCs w:val="21"/>
        </w:rPr>
        <w:t xml:space="preserve"> – физические лица, находящиеся или принимаемые на обслуживани</w:t>
      </w:r>
      <w:r>
        <w:rPr>
          <w:sz w:val="21"/>
          <w:szCs w:val="21"/>
        </w:rPr>
        <w:t xml:space="preserve">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</w:t>
      </w:r>
      <w:r>
        <w:rPr>
          <w:sz w:val="21"/>
          <w:szCs w:val="21"/>
        </w:rPr>
        <w:t xml:space="preserve">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В соответствии с Указом Президента Российской Федераци</w:t>
      </w:r>
      <w:r>
        <w:rPr>
          <w:sz w:val="21"/>
          <w:szCs w:val="21"/>
        </w:rPr>
        <w:t xml:space="preserve">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</w:t>
      </w:r>
      <w:r>
        <w:rPr>
          <w:sz w:val="21"/>
          <w:szCs w:val="21"/>
        </w:rPr>
        <w:t xml:space="preserve">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</w:t>
      </w:r>
      <w:r>
        <w:rPr>
          <w:sz w:val="21"/>
          <w:szCs w:val="21"/>
        </w:rPr>
        <w:t xml:space="preserve">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</w:t>
      </w:r>
      <w:r>
        <w:rPr>
          <w:sz w:val="21"/>
          <w:szCs w:val="21"/>
        </w:rPr>
        <w:t xml:space="preserve">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</w:t>
      </w:r>
      <w:r>
        <w:rPr>
          <w:sz w:val="21"/>
          <w:szCs w:val="21"/>
        </w:rPr>
        <w:t xml:space="preserve">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</w:t>
      </w:r>
      <w:r>
        <w:rPr>
          <w:sz w:val="21"/>
          <w:szCs w:val="21"/>
        </w:rPr>
        <w:t xml:space="preserve">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</w:t>
      </w:r>
      <w:r>
        <w:rPr>
          <w:sz w:val="21"/>
          <w:szCs w:val="21"/>
        </w:rPr>
        <w:t xml:space="preserve">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</w:t>
      </w:r>
      <w:r>
        <w:rPr>
          <w:sz w:val="21"/>
          <w:szCs w:val="21"/>
        </w:rPr>
        <w:t xml:space="preserve">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</w:t>
      </w:r>
      <w:r>
        <w:rPr>
          <w:sz w:val="21"/>
          <w:szCs w:val="21"/>
        </w:rPr>
        <w:t xml:space="preserve">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</w:t>
      </w:r>
      <w:r>
        <w:rPr>
          <w:sz w:val="21"/>
          <w:szCs w:val="21"/>
        </w:rPr>
        <w:t xml:space="preserve">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</w:t>
      </w:r>
      <w:r>
        <w:rPr>
          <w:sz w:val="21"/>
          <w:szCs w:val="21"/>
        </w:rPr>
        <w:t xml:space="preserve">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</w:t>
      </w:r>
      <w:r>
        <w:rPr>
          <w:sz w:val="21"/>
          <w:szCs w:val="21"/>
        </w:rPr>
        <w:t xml:space="preserve">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4. МЕЖДУНАРОДНОЕ ПУБЛИЧНОЕ ДОЛЖНОСТНОЕ ЛИЦО (МПДЛ</w:t>
      </w:r>
      <w:r>
        <w:rPr>
          <w:sz w:val="21"/>
          <w:szCs w:val="21"/>
        </w:rPr>
        <w:t xml:space="preserve">) - международный гражданский служащий или любое лицо, котор</w:t>
      </w:r>
      <w:r>
        <w:rPr>
          <w:sz w:val="21"/>
          <w:szCs w:val="21"/>
        </w:rPr>
        <w:t xml:space="preserve">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5. ЛИЦО, СВЯЗАННОЕ С ПДЛ</w:t>
      </w:r>
      <w:r>
        <w:rPr>
          <w:sz w:val="21"/>
          <w:szCs w:val="21"/>
        </w:rPr>
        <w:t xml:space="preserve"> – супруг или супруга ПДЛ, его близкий родственник (родственник по прямой во</w:t>
      </w:r>
      <w:r>
        <w:rPr>
          <w:sz w:val="21"/>
          <w:szCs w:val="21"/>
        </w:rPr>
        <w:t xml:space="preserve">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</w:t>
      </w:r>
      <w:r>
        <w:rPr>
          <w:sz w:val="21"/>
          <w:szCs w:val="21"/>
        </w:rPr>
        <w:t xml:space="preserve"> значительную материальную выгоду ввиду отношений с ПДЛ.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6. МЕЖДУНАРОДНЫЕ ОРГАНИЗАЦИИ</w:t>
      </w:r>
      <w:r>
        <w:rPr>
          <w:sz w:val="21"/>
          <w:szCs w:val="21"/>
        </w:rPr>
        <w:t xml:space="preserve"> – организации, созданные официальными политическими соглашениями между их странами - членами, которые имеют статус международных договоров; их существование признается з</w:t>
      </w:r>
      <w:r>
        <w:rPr>
          <w:sz w:val="21"/>
          <w:szCs w:val="21"/>
        </w:rPr>
        <w:t xml:space="preserve">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</w:t>
      </w:r>
      <w:r>
        <w:rPr>
          <w:sz w:val="21"/>
          <w:szCs w:val="21"/>
        </w:rPr>
        <w:t xml:space="preserve">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</w:t>
      </w:r>
      <w:r>
        <w:rPr>
          <w:sz w:val="21"/>
          <w:szCs w:val="21"/>
        </w:rPr>
        <w:t xml:space="preserve"> экономические организации, такие как Всемирная торговая организация или АСЕАН, и т.д.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40"/>
        <w:tabs>
          <w:tab w:val="left" w:pos="1080" w:leader="none"/>
        </w:tabs>
        <w:rPr>
          <w:b/>
          <w:bCs/>
        </w:rPr>
        <w:sectPr>
          <w:footnotePr/>
          <w:endnotePr/>
          <w:type w:val="nextPage"/>
          <w:pgSz w:w="11909" w:h="16834" w:orient="portrait"/>
          <w:pgMar w:top="1134" w:right="850" w:bottom="1134" w:left="1701" w:header="709" w:footer="709" w:gutter="0"/>
          <w:cols w:num="1" w:sep="0" w:space="60" w:equalWidth="1"/>
          <w:docGrid w:linePitch="360"/>
        </w:sect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218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261" w:name="_Toc51"/>
      <w:r>
        <w:rPr>
          <w:sz w:val="24"/>
          <w:szCs w:val="24"/>
        </w:rPr>
        <w:t xml:space="preserve">ФОРМА СПРАВКА О НАЛИЧИИ КОНФЛИКТА ИНТЕРЕСОВ И/ИЛИ СВЯЗЕЙ, НОСЯЩИХ ХАРАКТЕР АФФИЛИРОВАННОСТИ С СОТРУДНИКАМИ ЗАКАЗЧИКА ИЛИ ОРГАНИЗАТОРА ЗАКУПКИ</w:t>
      </w:r>
      <w:r>
        <w:rPr>
          <w:sz w:val="24"/>
          <w:szCs w:val="24"/>
        </w:rPr>
      </w:r>
      <w:bookmarkEnd w:id="261"/>
      <w:r/>
      <w:r>
        <w:rPr>
          <w:sz w:val="24"/>
          <w:szCs w:val="24"/>
        </w:rPr>
      </w:r>
    </w:p>
    <w:p>
      <w:pPr>
        <w:jc w:val="center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spacing w:after="0"/>
      </w:pPr>
      <w:r>
        <w:rPr>
          <w:b/>
        </w:rPr>
        <w:t xml:space="preserve">Справка о на</w:t>
      </w:r>
      <w:r>
        <w:rPr>
          <w:b/>
        </w:rPr>
        <w:t xml:space="preserve">личии конфликта интересов и/или связей, носящих характер аффилированности с сотрудниками Заказчика или Организатора закупки</w:t>
      </w:r>
      <w:r/>
    </w:p>
    <w:p>
      <w:pPr>
        <w:jc w:val="center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</w:t>
      </w:r>
      <w:r>
        <w:t xml:space="preserve">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 _________________________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</w:pPr>
      <w:r/>
      <w:r/>
    </w:p>
    <w:p>
      <w:pPr>
        <w:jc w:val="center"/>
      </w:pPr>
      <w:r>
        <w:t xml:space="preserve">Уважаемые господа!</w:t>
      </w:r>
      <w:r/>
    </w:p>
    <w:p>
      <w:pPr>
        <w:ind w:firstLine="567"/>
      </w:pPr>
      <w:r>
        <w:rPr>
          <w:bCs/>
        </w:rPr>
        <w:t xml:space="preserve">При рассмотрении нашей заявки просим учесть </w:t>
      </w:r>
      <w:r>
        <w:rPr>
          <w:bCs/>
        </w:rPr>
        <w:t xml:space="preserve">следующие сведения о наличии у _______________________________________ </w:t>
      </w:r>
      <w:r>
        <w:rPr>
          <w:b/>
          <w:bCs/>
          <w:i/>
        </w:rPr>
        <w:t xml:space="preserve">(указывается полное наименование Участника закупки)</w:t>
      </w:r>
      <w:r>
        <w:rPr>
          <w:bCs/>
          <w:i/>
        </w:rPr>
        <w:t xml:space="preserve"> </w:t>
      </w:r>
      <w:r>
        <w:rPr>
          <w:bCs/>
        </w:rPr>
        <w:t xml:space="preserve">конфликта интересов и/или связей, </w:t>
      </w:r>
      <w:r>
        <w:rPr>
          <w:b/>
          <w:bCs/>
          <w:i/>
        </w:rPr>
        <w:t xml:space="preserve">носящих характер аффилированности с лицом, являющимся ______________________</w:t>
      </w:r>
      <w:r>
        <w:rPr>
          <w:i/>
          <w:iCs/>
        </w:rPr>
        <w:t xml:space="preserve"> (</w:t>
      </w:r>
      <w:r>
        <w:rPr>
          <w:b/>
          <w:i/>
          <w:iCs/>
        </w:rPr>
        <w:t xml:space="preserve">указывается кем являю</w:t>
      </w:r>
      <w:r>
        <w:rPr>
          <w:b/>
          <w:i/>
          <w:iCs/>
        </w:rPr>
        <w:t xml:space="preserve">тся эти лица, пример: учредители, сотрудники, и т.д.</w:t>
      </w:r>
      <w:r>
        <w:rPr>
          <w:b/>
          <w:bCs/>
          <w:i/>
        </w:rPr>
        <w:t xml:space="preserve">) </w:t>
      </w:r>
      <w:r>
        <w:rPr>
          <w:bCs/>
        </w:rPr>
        <w:t xml:space="preserve">Заказчика </w:t>
      </w:r>
      <w:r>
        <w:rPr>
          <w:b/>
          <w:bCs/>
          <w:i/>
        </w:rPr>
        <w:t xml:space="preserve">и/или Организатора закупки</w:t>
      </w:r>
      <w:r>
        <w:rPr>
          <w:bCs/>
        </w:rPr>
        <w:t xml:space="preserve">, а именно - </w:t>
      </w:r>
      <w:r>
        <w:rPr>
          <w:b/>
          <w:bCs/>
          <w:i/>
        </w:rPr>
        <w:t xml:space="preserve">Указывается Ф.И.О. лица, его место работы, должность; кратко описывается, почему связи между данным лицом и Участником закупки могут быть расценены как к</w:t>
      </w:r>
      <w:r>
        <w:rPr>
          <w:b/>
          <w:bCs/>
          <w:i/>
        </w:rPr>
        <w:t xml:space="preserve">онфликт интересов и/или аффилированность)</w:t>
      </w:r>
      <w:r>
        <w:rPr>
          <w:bCs/>
        </w:rPr>
        <w:t xml:space="preserve">.</w:t>
      </w:r>
      <w:r/>
    </w:p>
    <w:p>
      <w:pPr>
        <w:tabs>
          <w:tab w:val="left" w:pos="1080" w:leader="none"/>
        </w:tabs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pPr>
        <w:ind w:right="424"/>
        <w:spacing w:after="0"/>
        <w:tabs>
          <w:tab w:val="left" w:pos="48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numPr>
          <w:ilvl w:val="0"/>
          <w:numId w:val="85"/>
        </w:numPr>
        <w:ind w:left="0" w:firstLine="709"/>
        <w:spacing w:after="0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numPr>
          <w:ilvl w:val="0"/>
          <w:numId w:val="85"/>
        </w:numPr>
        <w:ind w:left="0" w:firstLine="709"/>
        <w:spacing w:after="0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numPr>
          <w:ilvl w:val="0"/>
          <w:numId w:val="85"/>
        </w:numPr>
        <w:ind w:left="0" w:firstLine="709"/>
        <w:spacing w:after="0"/>
      </w:pPr>
      <w:r>
        <w:t xml:space="preserve">Участник закупки приводит наименования юридического лица и адреса места нахождения, либо фамилию, и</w:t>
      </w:r>
      <w:r>
        <w:t xml:space="preserve">мя, отчество, паспортные данные, адрес прописки (адрес регистрации) физического лица, в том числе индивидуального предпринимателя.</w:t>
      </w:r>
      <w:r/>
    </w:p>
    <w:p>
      <w:pPr>
        <w:numPr>
          <w:ilvl w:val="0"/>
          <w:numId w:val="85"/>
        </w:numPr>
        <w:ind w:left="0" w:firstLine="709"/>
        <w:spacing w:after="0"/>
      </w:pPr>
      <w:r>
        <w:t xml:space="preserve">Форма составляется на фирменном бланке Участника закупки.</w:t>
      </w:r>
      <w:r/>
    </w:p>
    <w:p>
      <w:pPr>
        <w:numPr>
          <w:ilvl w:val="0"/>
          <w:numId w:val="85"/>
        </w:numPr>
        <w:ind w:left="0" w:firstLine="709"/>
        <w:spacing w:after="0"/>
      </w:pPr>
      <w:r>
        <w:t xml:space="preserve">Участник закупки должен заполнить приведенное выше информационное п</w:t>
      </w:r>
      <w:r>
        <w:t xml:space="preserve">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нашей заявки просим учесть, что у {указывается наименование Уча</w:t>
      </w:r>
      <w:r>
        <w:t xml:space="preserve">стника закупки} НЕТ связей, которые могут быть признаны носящими характер аффилированности с лицами так или иначе связанными с Заказчиком или Организатором закупки.</w:t>
      </w:r>
      <w:r/>
    </w:p>
    <w:p>
      <w:pPr>
        <w:numPr>
          <w:ilvl w:val="0"/>
          <w:numId w:val="85"/>
        </w:numPr>
        <w:ind w:left="0" w:firstLine="709"/>
        <w:spacing w:after="0"/>
      </w:pPr>
      <w:r>
        <w:t xml:space="preserve">При наличии документов, подтверждающих или указывающих на факты возможного возникновения ко</w:t>
      </w:r>
      <w:r>
        <w:t xml:space="preserve">нфликта интересов и/или аффилированных связей, Участник прилагает соответствующие документы к настоящей Справке и включает перечень прилагаемых документов в текст Справки.</w:t>
      </w:r>
      <w:r/>
    </w:p>
    <w:p>
      <w:pPr>
        <w:numPr>
          <w:ilvl w:val="0"/>
          <w:numId w:val="85"/>
        </w:numPr>
        <w:ind w:left="0" w:firstLine="709"/>
        <w:spacing w:after="0"/>
      </w:pPr>
      <w:r>
        <w:rPr>
          <w:b/>
        </w:rPr>
        <w:t xml:space="preserve">Участник закупки должен приложить файл данной формы, выполненный в редактируемом фор</w:t>
      </w:r>
      <w:r>
        <w:rPr>
          <w:b/>
        </w:rPr>
        <w:t xml:space="preserve">мате</w:t>
      </w:r>
      <w:r>
        <w:t xml:space="preserve">.</w:t>
      </w:r>
      <w:r/>
    </w:p>
    <w:p>
      <w:pPr>
        <w:numPr>
          <w:ilvl w:val="0"/>
          <w:numId w:val="85"/>
        </w:numPr>
        <w:ind w:left="0" w:firstLine="709"/>
        <w:spacing w:after="0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218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262" w:name="_Toc52"/>
      <w:r>
        <w:rPr>
          <w:sz w:val="24"/>
          <w:szCs w:val="24"/>
        </w:rPr>
        <w:t xml:space="preserve">ФОРМА СПРАВКА (ИНФОРМАЦИЯ) О СОБСТВЕННИКАХ УЧАСТНИКА ЗАКУПКИ (ВКЛЮЧАЯ КОНЕЧНЫХ БЕНЕФИЦИАРОВ)</w:t>
      </w:r>
      <w:r>
        <w:rPr>
          <w:sz w:val="24"/>
          <w:szCs w:val="24"/>
        </w:rPr>
      </w:r>
      <w:bookmarkEnd w:id="262"/>
      <w:r/>
      <w:r>
        <w:rPr>
          <w:sz w:val="24"/>
          <w:szCs w:val="24"/>
        </w:rPr>
      </w:r>
    </w:p>
    <w:p>
      <w:pPr>
        <w:jc w:val="center"/>
        <w:rPr>
          <w:b/>
          <w:lang w:eastAsia="en-US"/>
        </w:rPr>
      </w:pPr>
      <w:r>
        <w:rPr>
          <w:b/>
          <w:lang w:eastAsia="en-US"/>
        </w:rPr>
      </w:r>
      <w:r>
        <w:rPr>
          <w:b/>
          <w:lang w:eastAsia="en-US"/>
        </w:rPr>
      </w:r>
      <w:r>
        <w:rPr>
          <w:b/>
          <w:lang w:eastAsia="en-US"/>
        </w:rPr>
      </w:r>
    </w:p>
    <w:p>
      <w:pPr>
        <w:jc w:val="center"/>
        <w:rPr>
          <w:b/>
          <w:lang w:eastAsia="en-US"/>
        </w:rPr>
      </w:pPr>
      <w:r>
        <w:rPr>
          <w:b/>
          <w:lang w:eastAsia="en-US"/>
        </w:rPr>
        <w:t xml:space="preserve">Справка (информация) о собственниках Участника закупки (включая конечных бенефициаров)*</w:t>
      </w:r>
      <w:r>
        <w:rPr>
          <w:b/>
          <w:lang w:eastAsia="en-US"/>
        </w:rPr>
      </w:r>
      <w:r>
        <w:rPr>
          <w:b/>
          <w:lang w:eastAsia="en-US"/>
        </w:rPr>
      </w:r>
    </w:p>
    <w:p>
      <w:pPr>
        <w:jc w:val="left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</w:t>
      </w:r>
      <w:r>
        <w:t xml:space="preserve">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________________________________________________</w:t>
      </w:r>
      <w:r/>
    </w:p>
    <w:p>
      <w:pPr>
        <w:spacing w:after="0"/>
      </w:pPr>
      <w:r>
        <w:t xml:space="preserve">Юридический адрес (место нахождения) участника закупки: ________</w:t>
      </w:r>
      <w:r>
        <w:t xml:space="preserve">__________________</w:t>
      </w:r>
      <w:r/>
    </w:p>
    <w:p>
      <w:pPr>
        <w:spacing w:after="0"/>
      </w:pPr>
      <w:r/>
      <w:r/>
    </w:p>
    <w:tbl>
      <w:tblPr>
        <w:tblW w:w="1530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73"/>
        <w:gridCol w:w="567"/>
        <w:gridCol w:w="1134"/>
        <w:gridCol w:w="850"/>
        <w:gridCol w:w="1134"/>
        <w:gridCol w:w="1418"/>
        <w:gridCol w:w="567"/>
        <w:gridCol w:w="567"/>
        <w:gridCol w:w="708"/>
        <w:gridCol w:w="1134"/>
        <w:gridCol w:w="987"/>
        <w:gridCol w:w="1418"/>
        <w:gridCol w:w="1134"/>
        <w:gridCol w:w="1276"/>
        <w:gridCol w:w="1275"/>
      </w:tblGrid>
      <w:tr>
        <w:tblPrEx/>
        <w:trPr>
          <w:jc w:val="center"/>
          <w:trHeight w:val="86"/>
        </w:trPr>
        <w:tc>
          <w:tcPr>
            <w:shd w:val="clear" w:color="000000" w:fill="ffffff"/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№ п./п.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W w:w="56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**№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ffffff" w:fill="ffffff"/>
            <w:tcW w:w="849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847"/>
        </w:trPr>
        <w:tc>
          <w:tcPr>
            <w:shd w:val="clear" w:color="000000" w:fill="ffffff"/>
            <w:tcW w:w="562" w:type="dxa"/>
            <w:vAlign w:val="center"/>
            <w:vMerge w:val="continue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ind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ind w:left="-113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5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6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7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8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9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</w:t>
            </w:r>
            <w:r>
              <w:rPr>
                <w:b/>
                <w:color w:val="000000"/>
                <w:sz w:val="16"/>
                <w:szCs w:val="16"/>
              </w:rPr>
              <w:t xml:space="preserve">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1.1.3.1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</w:t>
            </w:r>
            <w:r>
              <w:rPr>
                <w:b/>
                <w:color w:val="000000"/>
                <w:sz w:val="16"/>
                <w:szCs w:val="16"/>
              </w:rPr>
              <w:t xml:space="preserve">.3.2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</w:t>
            </w:r>
            <w:r>
              <w:rPr>
                <w:b/>
                <w:color w:val="000000"/>
                <w:sz w:val="16"/>
                <w:szCs w:val="16"/>
              </w:rPr>
              <w:t xml:space="preserve">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spacing w:after="0"/>
        <w:rPr>
          <w:b/>
          <w:bCs/>
        </w:rPr>
      </w:pPr>
      <w:r>
        <w:rPr>
          <w:b/>
          <w:bCs/>
        </w:rPr>
        <w:t xml:space="preserve">м.п.</w:t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530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Данные инструкции не следует воспроизводить в документах, подготовленных Участником закупки.</w:t>
      </w:r>
      <w:r>
        <w:rPr>
          <w:b/>
        </w:rPr>
      </w:r>
      <w:r>
        <w:rPr>
          <w:b/>
        </w:rPr>
      </w:r>
    </w:p>
    <w:p>
      <w:pPr>
        <w:pStyle w:val="1530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>
        <w:rPr>
          <w:b/>
        </w:rPr>
      </w:r>
      <w:r>
        <w:rPr>
          <w:b/>
        </w:rPr>
      </w:r>
    </w:p>
    <w:p>
      <w:pPr>
        <w:pStyle w:val="1530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Участник закупки приводит наименования юридического лица и адреса места нахождения, либо фамилию, и</w:t>
      </w:r>
      <w:r>
        <w:t xml:space="preserve">мя, отчество, паспортные данные, адрес прописки (адрес регистрации) физического лица, в том числе индивидуального предпринимателя.</w:t>
      </w:r>
      <w:r>
        <w:rPr>
          <w:b/>
        </w:rPr>
      </w:r>
      <w:r>
        <w:rPr>
          <w:b/>
        </w:rPr>
      </w:r>
    </w:p>
    <w:p>
      <w:pPr>
        <w:pStyle w:val="1530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В случае, если одним или несколькими участниками / учредителями / акционерами контрагента являются юридические лица, то в зав</w:t>
      </w:r>
      <w:r>
        <w:t xml:space="preserve">исимости от организационно-правовой формы, необходимо раскрыть цепочку их участников/учредителей/акционеров до уровня конечных бенефициаров с соблюдением нумерации и представить копии подтверждающих документов для всей цепочки с их указанием.</w:t>
      </w:r>
      <w:r>
        <w:rPr>
          <w:b/>
        </w:rPr>
      </w:r>
      <w:r>
        <w:rPr>
          <w:b/>
        </w:rPr>
      </w:r>
    </w:p>
    <w:p>
      <w:pPr>
        <w:pStyle w:val="1530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* В отношении</w:t>
      </w:r>
      <w:r>
        <w:t xml:space="preserve">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</w:t>
      </w:r>
      <w:r>
        <w:t xml:space="preserve">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</w:t>
      </w:r>
      <w:r>
        <w:t xml:space="preserve"> информации о количестве таких акционеров.</w:t>
      </w:r>
      <w:r>
        <w:rPr>
          <w:b/>
        </w:rPr>
      </w:r>
      <w:r>
        <w:rPr>
          <w:b/>
        </w:rPr>
      </w:r>
    </w:p>
    <w:p>
      <w:pPr>
        <w:pStyle w:val="1530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Разделы «ИНН» (№2) и «ОГРН» (№3) - указываются регистрационные данные Участника.</w:t>
      </w:r>
      <w:r>
        <w:rPr>
          <w:b/>
        </w:rPr>
      </w:r>
      <w:r>
        <w:rPr>
          <w:b/>
        </w:rPr>
      </w:r>
    </w:p>
    <w:p>
      <w:pPr>
        <w:pStyle w:val="1530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Разделы «ИНН» (№9) и «ОГРН» (№10) - указываются регистрационные данные собственников Участника.</w:t>
      </w:r>
      <w:r>
        <w:rPr>
          <w:b/>
        </w:rPr>
      </w:r>
      <w:r>
        <w:rPr>
          <w:b/>
        </w:rPr>
      </w:r>
    </w:p>
    <w:p>
      <w:pPr>
        <w:pStyle w:val="1530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«Наименование краткое» (№4) -</w:t>
      </w:r>
      <w:r>
        <w:t xml:space="preserve"> указывается краткое наименование Участника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подачи Заявок.</w:t>
      </w:r>
      <w:r>
        <w:rPr>
          <w:b/>
        </w:rPr>
      </w:r>
      <w:r>
        <w:rPr>
          <w:b/>
        </w:rPr>
      </w:r>
    </w:p>
    <w:p>
      <w:pPr>
        <w:pStyle w:val="1530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</w:t>
      </w:r>
      <w:r>
        <w:t xml:space="preserve">ел «Код ОКВЭД» (№5) - указывается код (основные коды) ОКВЭД.</w:t>
      </w:r>
      <w:r>
        <w:rPr>
          <w:b/>
        </w:rPr>
      </w:r>
      <w:r>
        <w:rPr>
          <w:b/>
        </w:rPr>
      </w:r>
    </w:p>
    <w:p>
      <w:pPr>
        <w:pStyle w:val="1530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«ФИО руководителя» (№6) - фамилия, отчество и имя указываются полностью.</w:t>
      </w:r>
      <w:r>
        <w:rPr>
          <w:b/>
        </w:rPr>
      </w:r>
      <w:r>
        <w:rPr>
          <w:b/>
        </w:rPr>
      </w:r>
    </w:p>
    <w:p>
      <w:pPr>
        <w:pStyle w:val="1530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«Серия и номер документа, удостоверяющего личность руководителя» (№7) - паспортные данные указываются в форм</w:t>
      </w:r>
      <w:r>
        <w:t xml:space="preserve">ате: ХХХХХХХХХХ (10 знаков), то есть без слов «серия», «номер» и т.п.</w:t>
      </w:r>
      <w:r>
        <w:rPr>
          <w:b/>
        </w:rPr>
      </w:r>
      <w:r>
        <w:rPr>
          <w:b/>
        </w:rPr>
      </w:r>
    </w:p>
    <w:p>
      <w:pPr>
        <w:pStyle w:val="1530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«Серия и номер документа, удостоверяющего личность (для физ. лиц)» (№13) - паспортные данные указываются в формате: ХХХХХХХХХХ (10 знаков), то есть без слов «серия», «номер» и т.п</w:t>
      </w:r>
      <w:r>
        <w:t xml:space="preserve">.</w:t>
      </w:r>
      <w:r>
        <w:rPr>
          <w:b/>
        </w:rPr>
      </w:r>
      <w:r>
        <w:rPr>
          <w:b/>
        </w:rPr>
      </w:r>
    </w:p>
    <w:p>
      <w:pPr>
        <w:pStyle w:val="1530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** Раздел «№» (№8) – заполняется в следующем формате: </w:t>
      </w:r>
      <w:r>
        <w:rPr>
          <w:b/>
        </w:rPr>
      </w:r>
      <w:r>
        <w:rPr>
          <w:b/>
        </w:rPr>
      </w:r>
    </w:p>
    <w:p>
      <w:pPr>
        <w:pStyle w:val="1530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1.1, 1.2. и т.д. – собственники участника (собственники первого уровня)</w:t>
      </w:r>
      <w:r>
        <w:rPr>
          <w:b/>
        </w:rPr>
      </w:r>
      <w:r>
        <w:rPr>
          <w:b/>
        </w:rPr>
      </w:r>
    </w:p>
    <w:p>
      <w:pPr>
        <w:pStyle w:val="1530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1.1.1, 1.1.2, 1.1.3 – собственники организации 1.1 (собственники организации второго уровня) и далее – по аналогичной схеме до </w:t>
      </w:r>
      <w:r>
        <w:t xml:space="preserve">конечного бенефициарного собственника (пример 1.1.3.1).</w:t>
      </w:r>
      <w:r>
        <w:rPr>
          <w:b/>
        </w:rPr>
      </w:r>
      <w:r>
        <w:rPr>
          <w:b/>
        </w:rPr>
      </w:r>
    </w:p>
    <w:p>
      <w:pPr>
        <w:pStyle w:val="1530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Каждый собственник указывается в отдельной строке Формы.</w:t>
      </w:r>
      <w:r>
        <w:rPr>
          <w:b/>
        </w:rPr>
      </w:r>
      <w:r>
        <w:rPr>
          <w:b/>
        </w:rPr>
      </w:r>
    </w:p>
    <w:p>
      <w:pPr>
        <w:pStyle w:val="1530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</w:t>
      </w:r>
      <w:r>
        <w:t xml:space="preserve">и наличие и состав собственников (выпиской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подачи Заявок, выпиской из реестра акционеров </w:t>
      </w:r>
      <w:r>
        <w:t xml:space="preserve">и т.п.); для физических лиц - фамилия, имя и отчество (указываются полностью).</w:t>
      </w:r>
      <w:r>
        <w:rPr>
          <w:b/>
        </w:rPr>
      </w:r>
      <w:r>
        <w:rPr>
          <w:b/>
        </w:rPr>
      </w:r>
    </w:p>
    <w:p>
      <w:pPr>
        <w:pStyle w:val="1530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</w:t>
      </w:r>
      <w:r>
        <w:t xml:space="preserve">выданной соответствующим подразделением Федеральной налоговой службы не ранее чем за 6 месяцев до срока окончания подачи Заявок; для физического лица - адрес регистрации физического лица.</w:t>
      </w:r>
      <w:r>
        <w:rPr>
          <w:b/>
        </w:rPr>
      </w:r>
      <w:r>
        <w:rPr>
          <w:b/>
        </w:rPr>
      </w:r>
    </w:p>
    <w:p>
      <w:pPr>
        <w:pStyle w:val="1530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«руководитель/участник/акционер/бенефициар» (№14) – указывает</w:t>
      </w:r>
      <w:r>
        <w:t xml:space="preserve">ся, кем является лицо или организация, отраженные в «Наименование/ФИО» (№11) - руководителем; участником (для собственников ООО); акционером (для собственников ЗАО, АО и ПАО); бенефициаром (иностранные компании, по которым не известны конечные бенефициары)</w:t>
      </w:r>
      <w:r>
        <w:t xml:space="preserve">; конечным бенефициаром (Российская Федерация, гос. учреждения РФ, физические лица, кроме руководителей).</w:t>
      </w:r>
      <w:r>
        <w:rPr>
          <w:b/>
        </w:rPr>
      </w:r>
      <w:r>
        <w:rPr>
          <w:b/>
        </w:rPr>
      </w:r>
    </w:p>
    <w:p>
      <w:pPr>
        <w:pStyle w:val="1530"/>
        <w:numPr>
          <w:ilvl w:val="0"/>
          <w:numId w:val="86"/>
        </w:numPr>
        <w:ind w:left="0" w:firstLine="709"/>
        <w:jc w:val="both"/>
      </w:pPr>
      <w:r>
        <w:t xml:space="preserve">***Раздел «Информация о подтверждающих документах (наименование, реквизиты и т.д.)» (№16) – указываются документы, на основании которых вносились данн</w:t>
      </w:r>
      <w:r>
        <w:t xml:space="preserve">ые в разделы №№9-13, а также документ, подтверждающий статус участника(ов) общества (выписка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</w:t>
      </w:r>
      <w:r>
        <w:t xml:space="preserve">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  <w:r/>
    </w:p>
    <w:p>
      <w:pPr>
        <w:pStyle w:val="1530"/>
        <w:numPr>
          <w:ilvl w:val="0"/>
          <w:numId w:val="86"/>
        </w:numPr>
        <w:ind w:left="0" w:firstLine="709"/>
        <w:jc w:val="both"/>
        <w:rPr>
          <w:b/>
          <w:bCs/>
        </w:rPr>
      </w:pPr>
      <w:r>
        <w:rPr>
          <w:b/>
        </w:rPr>
        <w:t xml:space="preserve">Участ</w:t>
      </w:r>
      <w:r>
        <w:rPr>
          <w:b/>
        </w:rPr>
        <w:t xml:space="preserve">ник закупки должен приложить файл данной формы, выполненный в редактируемом формате</w:t>
      </w:r>
      <w: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160" w:line="259" w:lineRule="auto"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jc w:val="right"/>
        <w:spacing w:after="160" w:line="259" w:lineRule="auto"/>
        <w:rPr>
          <w:b/>
        </w:rPr>
      </w:pPr>
      <w:r>
        <w:rPr>
          <w:b/>
        </w:rPr>
        <w:t xml:space="preserve">Приложение 1</w:t>
      </w:r>
      <w:r>
        <w:rPr>
          <w:b/>
        </w:rPr>
      </w:r>
      <w:r>
        <w:rPr>
          <w:b/>
        </w:rPr>
      </w:r>
    </w:p>
    <w:p>
      <w:pPr>
        <w:jc w:val="center"/>
        <w:rPr>
          <w:b/>
          <w:bCs/>
        </w:rPr>
      </w:pPr>
      <w:r>
        <w:rPr>
          <w:b/>
        </w:rPr>
        <w:t xml:space="preserve">Пример заполнения формы «Справка (информация) о собственниках участника закупки (включая конечных бенефициаров) (в том числе конечных)»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ООО «Организация-пример»</w:t>
      </w:r>
      <w:r>
        <w:rPr>
          <w:b/>
          <w:color w:val="000000"/>
          <w:u w:val="single"/>
        </w:rPr>
      </w:r>
      <w:r>
        <w:rPr>
          <w:b/>
          <w:color w:val="000000"/>
          <w:u w:val="single"/>
        </w:rPr>
      </w:r>
    </w:p>
    <w:p>
      <w:pPr>
        <w:jc w:val="center"/>
      </w:pPr>
      <w:r>
        <w:rPr>
          <w:i/>
          <w:color w:val="000000"/>
        </w:rPr>
        <w:t xml:space="preserve">(наименование организации)</w:t>
      </w:r>
      <w:r/>
    </w:p>
    <w:tbl>
      <w:tblPr>
        <w:tblW w:w="1573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709"/>
        <w:gridCol w:w="1275"/>
        <w:gridCol w:w="709"/>
        <w:gridCol w:w="1134"/>
        <w:gridCol w:w="1418"/>
        <w:gridCol w:w="567"/>
        <w:gridCol w:w="992"/>
        <w:gridCol w:w="709"/>
        <w:gridCol w:w="1134"/>
        <w:gridCol w:w="1134"/>
        <w:gridCol w:w="1111"/>
        <w:gridCol w:w="1134"/>
        <w:gridCol w:w="1157"/>
        <w:gridCol w:w="1275"/>
      </w:tblGrid>
      <w:tr>
        <w:tblPrEx/>
        <w:trPr>
          <w:jc w:val="center"/>
          <w:trHeight w:val="331"/>
        </w:trPr>
        <w:tc>
          <w:tcPr>
            <w:shd w:val="clear" w:color="000000" w:fill="ffffff"/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ind w:left="-79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№ п./п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W w:w="609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**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№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ffffff" w:fill="ffffff"/>
            <w:tcW w:w="864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847"/>
        </w:trPr>
        <w:tc>
          <w:tcPr>
            <w:shd w:val="clear" w:color="000000" w:fill="ffffff"/>
            <w:tcW w:w="426" w:type="dxa"/>
            <w:vAlign w:val="center"/>
            <w:vMerge w:val="continue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113" w:right="-22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ind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ind w:left="-137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ind w:right="-46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ind w:right="-46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5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6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7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8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9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16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right="-250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773456789</w:t>
            </w:r>
            <w:r>
              <w:rPr>
                <w:color w:val="000000"/>
                <w:sz w:val="14"/>
                <w:szCs w:val="16"/>
              </w:rPr>
              <w:t xml:space="preserve">0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044567890123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45.хх.хх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4601 456789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7751212112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35%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111222333444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7777 888999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222333444555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6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8888 111222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1. 2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7735345355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6158585888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987654321123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Сидорчук Светлана Петровна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0125 145678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90%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775456123007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154568484</w:t>
            </w:r>
            <w:r>
              <w:rPr>
                <w:color w:val="000000"/>
                <w:sz w:val="14"/>
                <w:szCs w:val="16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25%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7778899111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4545 123456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3334455777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2323 145678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100%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bCs/>
                <w:color w:val="000000"/>
                <w:sz w:val="14"/>
                <w:szCs w:val="16"/>
                <w:lang w:val="en-US"/>
              </w:rPr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Пример Лтд. (</w:t>
            </w:r>
            <w:r>
              <w:rPr>
                <w:color w:val="000000"/>
                <w:sz w:val="14"/>
                <w:szCs w:val="16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6"/>
              </w:rPr>
              <w:t xml:space="preserve">)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Кипр, Лимассол, 45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color w:val="000000"/>
                <w:sz w:val="14"/>
                <w:szCs w:val="16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tabs>
          <w:tab w:val="left" w:pos="1080" w:leader="none"/>
        </w:tabs>
        <w:rPr>
          <w:bCs/>
          <w:sz w:val="22"/>
          <w:szCs w:val="22"/>
        </w:rPr>
      </w:pPr>
      <w:r>
        <w:rPr>
          <w:sz w:val="20"/>
          <w:vertAlign w:val="subscript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697980" cy="4023360"/>
                <wp:effectExtent l="0" t="0" r="762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45173528" name="_x0000_i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55">
                          <a:extLst>
                            <a:ext uri="{96DAC541-7B7A-43D3-8B79-37D633B846F1}">
                              <asvg:svgBlip xmlns:asvg="http://schemas.microsoft.com/office/drawing/2016/SVG/main" r:embed="rId56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6697980" cy="402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27.40pt;height:316.80pt;mso-wrap-distance-left:0.00pt;mso-wrap-distance-top:0.00pt;mso-wrap-distance-right:0.00pt;mso-wrap-distance-bottom:0.00pt;" stroked="f">
                <v:path textboxrect="0,0,0,0"/>
                <v:imagedata r:id="rId55" o:title=""/>
              </v:shape>
            </w:pict>
          </mc:Fallback>
        </mc:AlternateConten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left="426"/>
        <w:jc w:val="center"/>
      </w:pPr>
      <w:r/>
      <w:r/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  <w:sectPr>
          <w:footnotePr/>
          <w:endnotePr/>
          <w:type w:val="nextPage"/>
          <w:pgSz w:w="16838" w:h="11906" w:orient="landscape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pStyle w:val="1218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263" w:name="_Toc53"/>
      <w:r>
        <w:rPr>
          <w:sz w:val="24"/>
          <w:szCs w:val="24"/>
        </w:rPr>
        <w:t xml:space="preserve">ФОРМА СОГЛАСИЕ НА ОБРАБОТКУ ПЕРСОНАЛЬНЫХ ДАННЫХ</w:t>
      </w:r>
      <w:r>
        <w:rPr>
          <w:sz w:val="24"/>
          <w:szCs w:val="24"/>
        </w:rPr>
      </w:r>
      <w:bookmarkEnd w:id="263"/>
      <w:r/>
      <w:r>
        <w:rPr>
          <w:sz w:val="24"/>
          <w:szCs w:val="24"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Согласие на обработку персональных данных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от «____» ____________</w:t>
      </w:r>
      <w:r>
        <w:rPr>
          <w:b/>
        </w:rPr>
        <w:t xml:space="preserve">_____ 20 ____ г.</w:t>
      </w:r>
      <w:r>
        <w:rPr>
          <w:b/>
        </w:rPr>
      </w:r>
      <w:r>
        <w:rPr>
          <w:b/>
        </w:rPr>
      </w:r>
    </w:p>
    <w:p>
      <w:pPr>
        <w:ind w:firstLine="567"/>
        <w:spacing w:after="0"/>
        <w:widowControl w:val="off"/>
      </w:pPr>
      <w:r>
        <w:t xml:space="preserve">Настоящим, _____________________________________________________________,</w:t>
      </w:r>
      <w:r/>
    </w:p>
    <w:p>
      <w:pPr>
        <w:jc w:val="center"/>
        <w:spacing w:after="0"/>
        <w:widowControl w:val="off"/>
        <w:rPr>
          <w:b/>
          <w:i/>
          <w:vertAlign w:val="subscript"/>
        </w:rPr>
      </w:pPr>
      <w:r>
        <w:rPr>
          <w:b/>
          <w:i/>
          <w:vertAlign w:val="subscript"/>
        </w:rPr>
        <w:t xml:space="preserve">                                                  (указывается</w:t>
      </w:r>
      <w:r>
        <w:rPr>
          <w:vertAlign w:val="subscript"/>
        </w:rPr>
        <w:t xml:space="preserve"> </w:t>
      </w:r>
      <w:r>
        <w:rPr>
          <w:b/>
          <w:i/>
          <w:vertAlign w:val="subscript"/>
        </w:rPr>
        <w:t xml:space="preserve">полное наименование участника закупочной процедуры</w:t>
      </w:r>
      <w:r>
        <w:rPr>
          <w:b/>
          <w:i/>
          <w:vertAlign w:val="subscript"/>
        </w:rPr>
      </w:r>
      <w:r>
        <w:rPr>
          <w:b/>
          <w:i/>
          <w:vertAlign w:val="subscript"/>
        </w:rPr>
      </w:r>
    </w:p>
    <w:p>
      <w:pPr>
        <w:spacing w:after="0"/>
      </w:pPr>
      <w:r>
        <w:rPr>
          <w:b/>
          <w:i/>
        </w:rPr>
        <w:t xml:space="preserve">_____________________________________________________________________________</w:t>
      </w:r>
      <w:r/>
    </w:p>
    <w:p>
      <w:pPr>
        <w:jc w:val="center"/>
        <w:spacing w:after="0"/>
        <w:widowControl w:val="off"/>
        <w:rPr>
          <w:vertAlign w:val="subscript"/>
        </w:rPr>
      </w:pPr>
      <w:r>
        <w:rPr>
          <w:b/>
          <w:i/>
          <w:vertAlign w:val="subscript"/>
        </w:rPr>
        <w:t xml:space="preserve">(потенциального контрагента), контрагента)</w:t>
      </w:r>
      <w:r>
        <w:rPr>
          <w:vertAlign w:val="subscript"/>
        </w:rPr>
      </w:r>
      <w:r>
        <w:rPr>
          <w:vertAlign w:val="subscript"/>
        </w:rPr>
      </w:r>
    </w:p>
    <w:p>
      <w:pPr>
        <w:ind w:firstLine="567"/>
        <w:widowControl w:val="off"/>
      </w:pPr>
      <w:r>
        <w:t xml:space="preserve">Адрес регистрации: _______________________________________________________,</w:t>
      </w:r>
      <w:r/>
    </w:p>
    <w:p>
      <w:pPr>
        <w:ind w:firstLine="567"/>
        <w:widowControl w:val="off"/>
      </w:pPr>
      <w:r>
        <w:t xml:space="preserve">Свидетельство о регистрации: ______________________________</w:t>
      </w:r>
      <w:r>
        <w:t xml:space="preserve">________________</w:t>
      </w:r>
      <w:r/>
    </w:p>
    <w:p>
      <w:pPr>
        <w:ind w:firstLine="567"/>
        <w:widowControl w:val="off"/>
        <w:rPr>
          <w:b/>
          <w:i/>
        </w:rPr>
      </w:pPr>
      <w:r>
        <w:rPr>
          <w:b/>
          <w:i/>
        </w:rPr>
        <w:t xml:space="preserve">ИНН__________________________</w:t>
      </w:r>
      <w:r>
        <w:rPr>
          <w:b/>
          <w:i/>
        </w:rPr>
      </w:r>
      <w:r>
        <w:rPr>
          <w:b/>
          <w:i/>
        </w:rPr>
      </w:r>
    </w:p>
    <w:p>
      <w:pPr>
        <w:ind w:firstLine="567"/>
        <w:widowControl w:val="off"/>
        <w:rPr>
          <w:b/>
          <w:i/>
        </w:rPr>
      </w:pPr>
      <w:r>
        <w:rPr>
          <w:b/>
          <w:i/>
        </w:rPr>
        <w:t xml:space="preserve">КПП__________________________</w:t>
      </w:r>
      <w:r>
        <w:rPr>
          <w:b/>
          <w:i/>
        </w:rPr>
      </w:r>
      <w:r>
        <w:rPr>
          <w:b/>
          <w:i/>
        </w:rPr>
      </w:r>
    </w:p>
    <w:p>
      <w:pPr>
        <w:ind w:firstLine="567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spacing w:after="0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_______________________________________________________________________</w:t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jc w:val="center"/>
        <w:spacing w:after="0"/>
        <w:rPr>
          <w:b/>
          <w:bCs/>
          <w:i/>
          <w:iCs/>
          <w:vertAlign w:val="subscript"/>
        </w:rPr>
      </w:pPr>
      <w:r>
        <w:rPr>
          <w:b/>
          <w:i/>
          <w:vertAlign w:val="subscript"/>
        </w:rPr>
        <w:t xml:space="preserve">(указывается Ф.И.О.,</w:t>
      </w:r>
      <w:r>
        <w:rPr>
          <w:b/>
          <w:i/>
          <w:iCs/>
          <w:vertAlign w:val="subscript"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  <w:vertAlign w:val="subscript"/>
        </w:rPr>
      </w:r>
      <w:r>
        <w:rPr>
          <w:b/>
          <w:bCs/>
          <w:i/>
          <w:iCs/>
          <w:vertAlign w:val="subscript"/>
        </w:rPr>
      </w:r>
    </w:p>
    <w:p>
      <w:pPr>
        <w:jc w:val="left"/>
      </w:pPr>
      <w:r>
        <w:rPr>
          <w:b/>
          <w:i/>
          <w:iCs/>
        </w:rPr>
        <w:t xml:space="preserve">_____________________________________________________________________________</w:t>
      </w:r>
      <w:r>
        <w:rPr>
          <w:iCs/>
        </w:rPr>
        <w:t xml:space="preserve">,</w:t>
      </w:r>
      <w:r/>
    </w:p>
    <w:p>
      <w:pPr>
        <w:ind w:firstLine="540"/>
        <w:jc w:val="center"/>
        <w:rPr>
          <w:b/>
          <w:bCs/>
          <w:i/>
          <w:iCs/>
        </w:rPr>
      </w:pPr>
      <w:r>
        <w:rPr>
          <w:b/>
          <w:i/>
          <w:iCs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</w:rPr>
      </w:r>
      <w:r>
        <w:rPr>
          <w:b/>
          <w:bCs/>
          <w:i/>
          <w:iCs/>
        </w:rPr>
      </w:r>
    </w:p>
    <w:p>
      <w:pPr>
        <w:spacing w:after="0"/>
        <w:widowControl w:val="off"/>
      </w:pPr>
      <w:r>
        <w:rPr>
          <w:b/>
          <w:i/>
        </w:rPr>
        <w:t xml:space="preserve">действующего на основании __________________</w:t>
      </w:r>
      <w:r>
        <w:rPr>
          <w:b/>
          <w:i/>
        </w:rPr>
        <w:t xml:space="preserve">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АО «Россети Янтарь»</w:t>
      </w:r>
      <w:r>
        <w:t xml:space="preserve">, зарегистрированному по адресу: 236022 г. Калининград, ул. Театральная, д. 34,</w:t>
      </w:r>
      <w:r>
        <w:rPr>
          <w:b/>
          <w:i/>
        </w:rPr>
        <w:t xml:space="preserve"> </w:t>
      </w:r>
      <w:r>
        <w:rPr>
          <w:b/>
        </w:rPr>
        <w:t xml:space="preserve">ДЗО _________«_________________» </w:t>
      </w:r>
      <w:r>
        <w:rPr>
          <w:b/>
          <w:i/>
        </w:rPr>
        <w:t xml:space="preserve">(указывается организационно-правовая форма и полное наименование),** </w:t>
      </w:r>
      <w:r>
        <w:t xml:space="preserve">зарегистрированному по адресу:</w:t>
      </w:r>
      <w:r>
        <w:t xml:space="preserve">_____________ и</w:t>
      </w:r>
      <w:r>
        <w:rPr>
          <w:i/>
        </w:rPr>
        <w:t xml:space="preserve"> </w:t>
      </w:r>
      <w:r>
        <w:rPr>
          <w:b/>
        </w:rPr>
        <w:t xml:space="preserve">Публичному акционерному обществу «Российские сети»</w:t>
      </w:r>
      <w:r>
        <w:t xml:space="preserve">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br/>
        <w:t xml:space="preserve">в том</w:t>
      </w:r>
      <w:r>
        <w:t xml:space="preserve">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</w:t>
      </w:r>
      <w:r>
        <w:t xml:space="preserve">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</w:t>
      </w:r>
      <w:r>
        <w:t xml:space="preserve">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/>
    </w:p>
    <w:p>
      <w:pPr>
        <w:ind w:firstLine="567"/>
        <w:spacing w:after="0"/>
        <w:widowControl w:val="off"/>
      </w:pPr>
      <w:r>
        <w:t xml:space="preserve">Цель обработки персо</w:t>
      </w:r>
      <w:r>
        <w:t xml:space="preserve">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</w:t>
      </w:r>
      <w:r>
        <w:t xml:space="preserve">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</w:t>
      </w:r>
      <w:r>
        <w:t xml:space="preserve">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ind w:firstLine="567"/>
        <w:spacing w:after="0"/>
        <w:widowControl w:val="off"/>
        <w:rPr>
          <w:rFonts w:eastAsia="Calibri"/>
          <w:color w:val="000000"/>
          <w:lang w:eastAsia="en-US"/>
        </w:rPr>
      </w:pPr>
      <w:r>
        <w:t xml:space="preserve">Срок, в течение которого действует настоящее согласие: со дня его по</w:t>
      </w:r>
      <w:r>
        <w:t xml:space="preserve">дписания до 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ind w:firstLine="567"/>
        <w:spacing w:after="0"/>
        <w:widowControl w:val="off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ind w:firstLine="567"/>
        <w:spacing w:after="0"/>
        <w:widowControl w:val="off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tbl>
      <w:tblPr>
        <w:tblW w:w="9243" w:type="dxa"/>
        <w:tblInd w:w="108" w:type="dxa"/>
        <w:tblLook w:val="01E0" w:firstRow="1" w:lastRow="1" w:firstColumn="1" w:lastColumn="1" w:noHBand="0" w:noVBand="0"/>
      </w:tblPr>
      <w:tblGrid>
        <w:gridCol w:w="4849"/>
        <w:gridCol w:w="4394"/>
      </w:tblGrid>
      <w:tr>
        <w:tblPrEx/>
        <w:trPr/>
        <w:tc>
          <w:tcPr>
            <w:tcW w:w="4849" w:type="dxa"/>
            <w:textDirection w:val="lrTb"/>
            <w:noWrap w:val="false"/>
          </w:tcPr>
          <w:p>
            <w:pPr>
              <w:ind w:right="-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____________________________________</w:t>
            </w:r>
            <w:r>
              <w:rPr>
                <w:bCs/>
                <w:sz w:val="20"/>
                <w:szCs w:val="20"/>
              </w:rPr>
              <w:t xml:space="preserve">_______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______________________________________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bCs/>
                <w:vertAlign w:val="subscript"/>
              </w:rPr>
            </w:pPr>
            <w:r>
              <w:rPr>
                <w:vertAlign w:val="subscript"/>
              </w:rPr>
              <w:t xml:space="preserve">(подпись субъекта персональных данных уполномоченного представителя)</w:t>
            </w:r>
            <w:r>
              <w:rPr>
                <w:bCs/>
                <w:vertAlign w:val="subscript"/>
              </w:rPr>
            </w:r>
            <w:r>
              <w:rPr>
                <w:bCs/>
                <w:vertAlign w:val="subscript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ind w:left="-103"/>
              <w:jc w:val="center"/>
              <w:rPr>
                <w:bCs/>
                <w:vertAlign w:val="subscript"/>
              </w:rPr>
            </w:pPr>
            <w:r>
              <w:rPr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vertAlign w:val="subscript"/>
              </w:rPr>
            </w:r>
            <w:r>
              <w:rPr>
                <w:bCs/>
                <w:vertAlign w:val="subscript"/>
              </w:rPr>
            </w:r>
          </w:p>
        </w:tc>
      </w:tr>
    </w:tbl>
    <w:p>
      <w:pPr>
        <w:tabs>
          <w:tab w:val="left" w:pos="1080" w:leader="none"/>
        </w:tabs>
        <w:rPr>
          <w:b/>
          <w:bCs/>
        </w:rPr>
      </w:pPr>
      <w:r>
        <w:rPr>
          <w:b/>
        </w:rPr>
        <w:t xml:space="preserve">м.п.</w:t>
      </w:r>
      <w:r>
        <w:rPr>
          <w:b/>
          <w:bCs/>
        </w:rPr>
      </w:r>
      <w:r>
        <w:rPr>
          <w:b/>
          <w:bCs/>
        </w:rPr>
      </w:r>
    </w:p>
    <w:p>
      <w:pPr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ind w:firstLine="567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numPr>
          <w:ilvl w:val="0"/>
          <w:numId w:val="87"/>
        </w:numPr>
        <w:ind w:left="0" w:firstLine="709"/>
        <w:spacing w:after="0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numPr>
          <w:ilvl w:val="0"/>
          <w:numId w:val="87"/>
        </w:numPr>
        <w:ind w:left="0" w:firstLine="709"/>
        <w:spacing w:after="0"/>
      </w:pPr>
      <w:r>
        <w:t xml:space="preserve">Участник приводит номер и дату письма о подаче оферты, приложением к которому является данная форма.</w:t>
      </w:r>
      <w:r/>
    </w:p>
    <w:p>
      <w:pPr>
        <w:numPr>
          <w:ilvl w:val="0"/>
          <w:numId w:val="87"/>
        </w:numPr>
        <w:ind w:left="0" w:firstLine="709"/>
        <w:spacing w:after="0"/>
      </w:pPr>
      <w:r>
        <w:t xml:space="preserve">Участник закупки, являющийся юридическим лицом, должен указать</w:t>
      </w:r>
      <w:r>
        <w:t xml:space="preserve">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индивидуальный предприниматель, указывает полностью фамилию, имя, отчество, паспортные данные, адрес </w:t>
      </w:r>
      <w:r>
        <w:t xml:space="preserve">прописки (индивидуальный предприниматель – адрес регистрации).</w:t>
      </w:r>
      <w:r/>
    </w:p>
    <w:p>
      <w:pPr>
        <w:numPr>
          <w:ilvl w:val="0"/>
          <w:numId w:val="87"/>
        </w:numPr>
        <w:ind w:left="0" w:firstLine="709"/>
        <w:spacing w:after="0"/>
      </w:pPr>
      <w:r>
        <w:t xml:space="preserve">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</w:t>
      </w:r>
      <w:r>
        <w:t xml:space="preserve">ть) свои персональные данные. Дополнительное перечисление собственников/бенефициаров в данной форме не обязательно.</w:t>
      </w:r>
      <w:r/>
    </w:p>
    <w:p>
      <w:pPr>
        <w:numPr>
          <w:ilvl w:val="0"/>
          <w:numId w:val="87"/>
        </w:numPr>
        <w:ind w:left="0" w:firstLine="709"/>
        <w:spacing w:after="0"/>
      </w:pPr>
      <w: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</w:t>
      </w:r>
      <w:r>
        <w:t xml:space="preserve">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</w:t>
      </w:r>
      <w:r>
        <w:t xml:space="preserve">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/>
    </w:p>
    <w:p>
      <w:pPr>
        <w:numPr>
          <w:ilvl w:val="0"/>
          <w:numId w:val="87"/>
        </w:numPr>
        <w:ind w:left="0" w:firstLine="709"/>
        <w:spacing w:after="0"/>
      </w:pPr>
      <w:r>
        <w:t xml:space="preserve">** При заключении договоров АО «Россети Янтарь», АО «Россети Янтарь» обязаны получить соглас</w:t>
      </w:r>
      <w:r>
        <w:t xml:space="preserve">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</w:t>
      </w:r>
      <w:r>
        <w:t xml:space="preserve">мя, отчество; серия и номер документа, удостоверяющего личность; ИНН (участников, учредителей, акционеров, руководителей).</w:t>
      </w:r>
      <w:r/>
    </w:p>
    <w:p>
      <w:pPr>
        <w:numPr>
          <w:ilvl w:val="0"/>
          <w:numId w:val="87"/>
        </w:numPr>
        <w:ind w:left="0" w:firstLine="709"/>
        <w:spacing w:after="0"/>
      </w:pPr>
      <w: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</w:t>
      </w:r>
      <w:r>
        <w:t xml:space="preserve">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 «Россети», АО «Россети Янтарь», ДЗО АО «Россети Янтарь» перед руководителем, собственником</w:t>
      </w:r>
      <w:r>
        <w:t xml:space="preserve">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</w:t>
      </w:r>
      <w:r>
        <w:t xml:space="preserve"> своего субконтрагента, и предполагает, что участник закупки (потенциальный контрагент) / контрагент получил у руководителя, своих бенефициаров и бенефициаров своих субконтрагентов согласие на представление (обработку) ПАО «Россети», АО «Россети Янтарь», Д</w:t>
      </w:r>
      <w:r>
        <w:t xml:space="preserve">ЗО АО «Россети Янтарь» и в уполномоченные государственные органы указанных сведений</w:t>
      </w:r>
      <w:r>
        <w:rPr>
          <w:sz w:val="22"/>
          <w:szCs w:val="22"/>
        </w:rPr>
        <w:t xml:space="preserve">.</w:t>
      </w:r>
      <w:r>
        <w:br w:type="page" w:clear="all"/>
      </w:r>
      <w:r/>
    </w:p>
    <w:p>
      <w:pPr>
        <w:pStyle w:val="1218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264" w:name="_Toc54"/>
      <w:r>
        <w:rPr>
          <w:sz w:val="24"/>
          <w:szCs w:val="24"/>
        </w:rPr>
        <w:t xml:space="preserve">ФОРМА АНТИКОРРУПЦИОННЫЕ ОБЯЗАТЕЛЬСТВА</w:t>
      </w:r>
      <w:r>
        <w:rPr>
          <w:sz w:val="24"/>
          <w:szCs w:val="24"/>
        </w:rPr>
      </w:r>
      <w:bookmarkEnd w:id="264"/>
      <w:r/>
      <w:r>
        <w:rPr>
          <w:sz w:val="24"/>
          <w:szCs w:val="24"/>
        </w:rPr>
      </w:r>
    </w:p>
    <w:p>
      <w:r/>
      <w:r/>
    </w:p>
    <w:p>
      <w:pPr>
        <w:jc w:val="center"/>
        <w:rPr>
          <w:b/>
          <w:bCs/>
        </w:rPr>
      </w:pPr>
      <w:r>
        <w:rPr>
          <w:b/>
          <w:bCs/>
        </w:rPr>
        <w:t xml:space="preserve">Антикоррупционные обязательства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</w:pPr>
      <w:r/>
      <w:r/>
    </w:p>
    <w:p>
      <w:pPr>
        <w:jc w:val="left"/>
        <w:spacing w:after="0"/>
      </w:pPr>
      <w:r>
        <w:t xml:space="preserve">Наименование закупки _______________________________________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 _________________________</w:t>
      </w:r>
      <w:r>
        <w:rPr>
          <w:b/>
          <w:bCs/>
        </w:rPr>
      </w:r>
      <w:r>
        <w:rPr>
          <w:b/>
          <w:bCs/>
        </w:rPr>
      </w:r>
    </w:p>
    <w:p>
      <w:r/>
      <w:r/>
    </w:p>
    <w:p>
      <w:pPr>
        <w:ind w:firstLine="567"/>
        <w:spacing w:after="0"/>
      </w:pPr>
      <w:r>
        <w:t xml:space="preserve">Антикоррупци</w:t>
      </w:r>
      <w:r>
        <w:t xml:space="preserve">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АО «Россети Янтарь» по разработке и принятию мер по предупреждению и противодействию к</w:t>
      </w:r>
      <w:r>
        <w:t xml:space="preserve">оррупции.</w:t>
      </w:r>
      <w:r/>
    </w:p>
    <w:p>
      <w:pPr>
        <w:numPr>
          <w:ilvl w:val="0"/>
          <w:numId w:val="88"/>
        </w:numPr>
        <w:ind w:left="0" w:firstLine="567"/>
        <w:spacing w:after="0"/>
        <w:tabs>
          <w:tab w:val="num" w:pos="567" w:leader="none"/>
        </w:tabs>
      </w:pPr>
      <w: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</w:t>
      </w:r>
      <w:r>
        <w:t xml:space="preserve">упочных процедур) для нужд АО «Россети Янтарь»,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/>
    </w:p>
    <w:p>
      <w:pPr>
        <w:contextualSpacing/>
        <w:ind w:firstLine="567"/>
        <w:spacing w:after="0"/>
        <w:widowControl w:val="off"/>
        <w:tabs>
          <w:tab w:val="num" w:pos="567" w:leader="none"/>
        </w:tabs>
      </w:pPr>
      <w:r>
        <w:t xml:space="preserve">1.1</w:t>
      </w:r>
      <w:r>
        <w:tab/>
        <w:t xml:space="preserve">Ознакомлен с Антикоррупционной хартией российского бизнеса и</w:t>
      </w:r>
      <w:r>
        <w:t xml:space="preserve"> Антикоррупционной политикой ПАО «Россети» и его ДЗО, представленными в разделе «Антикоррупционная политика» на официальном сайте АО «Россети Янтарь») по адресу в сети Интернет </w:t>
      </w:r>
      <w:hyperlink r:id="rId57" w:tooltip="https://rosseti-yantar.ru/about/antikorruptsionnaya-politika/" w:history="1">
        <w:r>
          <w:rPr>
            <w:rStyle w:val="1437"/>
          </w:rPr>
          <w:t xml:space="preserve">https://rosseti-yantar.ru/about/antikorruptsionnaya-politika/</w:t>
        </w:r>
      </w:hyperlink>
      <w:r>
        <w:t xml:space="preserve"> (далее - Антикоррупционная политика).</w:t>
      </w:r>
      <w:r/>
    </w:p>
    <w:p>
      <w:pPr>
        <w:numPr>
          <w:ilvl w:val="1"/>
          <w:numId w:val="92"/>
        </w:numPr>
        <w:contextualSpacing/>
        <w:ind w:left="0" w:firstLine="567"/>
        <w:spacing w:after="0"/>
        <w:widowControl w:val="off"/>
        <w:tabs>
          <w:tab w:val="num" w:pos="567" w:leader="none"/>
        </w:tabs>
      </w:pPr>
      <w:r>
        <w:t xml:space="preserve">Согласен с принимаемыми в АО «Россети Янтарь» мерами, направленными на предупреждение и пр</w:t>
      </w:r>
      <w:r>
        <w:t xml:space="preserve">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</w:t>
      </w:r>
      <w:r>
        <w:t xml:space="preserve">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</w:t>
      </w:r>
      <w:r>
        <w:t xml:space="preserve">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</w:t>
      </w:r>
      <w:r>
        <w:t xml:space="preserve">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предложений, справка о кадровых ресурсах, информацию о наличии аффилированных и иных связей, п</w:t>
      </w:r>
      <w:r>
        <w:t xml:space="preserve">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  <w:r/>
    </w:p>
    <w:p>
      <w:pPr>
        <w:numPr>
          <w:ilvl w:val="0"/>
          <w:numId w:val="88"/>
        </w:numPr>
        <w:ind w:left="0" w:firstLine="567"/>
        <w:spacing w:after="0"/>
        <w:tabs>
          <w:tab w:val="num" w:pos="567" w:leader="none"/>
        </w:tabs>
      </w:pPr>
      <w:r>
        <w:t xml:space="preserve">Участник, а также его аффилирован</w:t>
      </w:r>
      <w:r>
        <w:t xml:space="preserve">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</w:t>
      </w:r>
      <w:r>
        <w:t xml:space="preserve">лее – «</w:t>
      </w:r>
      <w:r>
        <w:rPr>
          <w:bCs/>
        </w:rPr>
        <w:t xml:space="preserve">Запрещённые действия</w:t>
      </w:r>
      <w:r>
        <w:t xml:space="preserve">»).</w:t>
      </w:r>
      <w:r/>
    </w:p>
    <w:p>
      <w:pPr>
        <w:ind w:firstLine="567"/>
        <w:spacing w:after="0"/>
        <w:tabs>
          <w:tab w:val="num" w:pos="567" w:leader="none"/>
        </w:tabs>
      </w:pPr>
      <w:r>
        <w:t xml:space="preserve">2.1. К Запрещ</w:t>
      </w:r>
      <w:r>
        <w:rPr>
          <w:bCs/>
        </w:rPr>
        <w:t xml:space="preserve">ё</w:t>
      </w:r>
      <w:r>
        <w:t xml:space="preserve">нным действиям, способным вызвать коррупционные риски при осуществлении закупочной деятельности, относятся: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 неполных, заведомо ложных, недостоверных сведений о структуре собственников;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непредставл</w:t>
      </w:r>
      <w:r>
        <w:t xml:space="preserve">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освобождение, предложение или обещан</w:t>
      </w:r>
      <w:r>
        <w:t xml:space="preserve">ие освободить от исполнения обязательства или обязанности;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оказание, предложение или обещание оказать услуги;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предо</w:t>
      </w:r>
      <w:r>
        <w:t xml:space="preserve">ставление, предложение или обещание предоставить иные выгоды; 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действия, квалифицируемые российским законодательством как дача или получение взятки, коммерческий подкуп, незаконное</w:t>
      </w:r>
      <w:r>
        <w:t xml:space="preserve">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/>
    </w:p>
    <w:p>
      <w:pPr>
        <w:numPr>
          <w:ilvl w:val="1"/>
          <w:numId w:val="90"/>
        </w:numPr>
        <w:ind w:left="0" w:firstLine="567"/>
        <w:spacing w:after="0"/>
        <w:tabs>
          <w:tab w:val="num" w:pos="567" w:leader="none"/>
        </w:tabs>
      </w:pPr>
      <w:r>
        <w:rPr>
          <w:lang w:val="en-US"/>
        </w:rPr>
        <w:t xml:space="preserve">C</w:t>
      </w:r>
      <w:r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</w:t>
      </w:r>
      <w:r>
        <w:t xml:space="preserve"> в определенную зависимость и направленного на обеспечение выполнения этим работником каких-либо действий в пользу Участника. </w:t>
      </w:r>
      <w:r/>
    </w:p>
    <w:p>
      <w:pPr>
        <w:numPr>
          <w:ilvl w:val="1"/>
          <w:numId w:val="90"/>
        </w:numPr>
        <w:ind w:left="0" w:firstLine="567"/>
        <w:spacing w:after="0"/>
        <w:tabs>
          <w:tab w:val="num" w:pos="567" w:leader="none"/>
        </w:tabs>
      </w:pPr>
      <w:r>
        <w:t xml:space="preserve">Под действиями работника Заказчика/Организатора закупки, осуществляемыми в пользу Участника, понимаются:</w:t>
      </w:r>
      <w:r/>
    </w:p>
    <w:p>
      <w:pPr>
        <w:numPr>
          <w:ilvl w:val="0"/>
          <w:numId w:val="89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 неоправда</w:t>
      </w:r>
      <w:r>
        <w:t xml:space="preserve">нных преимуществ по сравнению с другими участниками закупочных процедур;</w:t>
      </w:r>
      <w:r/>
    </w:p>
    <w:p>
      <w:pPr>
        <w:numPr>
          <w:ilvl w:val="0"/>
          <w:numId w:val="89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 каких-либо гарантий;</w:t>
      </w:r>
      <w:r/>
    </w:p>
    <w:p>
      <w:pPr>
        <w:numPr>
          <w:ilvl w:val="0"/>
          <w:numId w:val="89"/>
        </w:numPr>
        <w:ind w:left="0" w:firstLine="709"/>
        <w:spacing w:after="0"/>
        <w:tabs>
          <w:tab w:val="num" w:pos="567" w:leader="none"/>
        </w:tabs>
      </w:pPr>
      <w:r>
        <w:t xml:space="preserve">ускорение существующих процедур;</w:t>
      </w:r>
      <w:r/>
    </w:p>
    <w:p>
      <w:pPr>
        <w:numPr>
          <w:ilvl w:val="0"/>
          <w:numId w:val="89"/>
        </w:numPr>
        <w:ind w:left="0" w:firstLine="709"/>
        <w:spacing w:after="0"/>
        <w:tabs>
          <w:tab w:val="num" w:pos="567" w:leader="none"/>
        </w:tabs>
      </w:pPr>
      <w: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/>
    </w:p>
    <w:p>
      <w:pPr>
        <w:numPr>
          <w:ilvl w:val="0"/>
          <w:numId w:val="90"/>
        </w:numPr>
        <w:ind w:left="0" w:firstLine="567"/>
        <w:spacing w:after="0"/>
        <w:tabs>
          <w:tab w:val="num" w:pos="567" w:leader="none"/>
        </w:tabs>
      </w:pPr>
      <w:r>
        <w:t xml:space="preserve">В случае возникновения у Участника оснований полаг</w:t>
      </w:r>
      <w:r>
        <w:t xml:space="preserve">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</w:t>
      </w:r>
      <w:r>
        <w:t xml:space="preserve">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/>
    </w:p>
    <w:p>
      <w:pPr>
        <w:numPr>
          <w:ilvl w:val="0"/>
          <w:numId w:val="90"/>
        </w:numPr>
        <w:ind w:left="0" w:firstLine="567"/>
        <w:spacing w:after="0"/>
        <w:tabs>
          <w:tab w:val="num" w:pos="567" w:leader="none"/>
        </w:tabs>
      </w:pPr>
      <w:r>
        <w:t xml:space="preserve">После получения такого письменного уведомления Заказчик осуществляет соответствующую проверку и направляет уведомление о </w:t>
      </w:r>
      <w:r>
        <w:t xml:space="preserve">результатах в адрес Участника.</w:t>
      </w:r>
      <w:r/>
    </w:p>
    <w:p>
      <w:pPr>
        <w:numPr>
          <w:ilvl w:val="0"/>
          <w:numId w:val="90"/>
        </w:numPr>
        <w:ind w:left="0" w:firstLine="567"/>
        <w:spacing w:after="0"/>
        <w:tabs>
          <w:tab w:val="num" w:pos="567" w:leader="none"/>
        </w:tabs>
      </w:pPr>
      <w: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r/>
      <w:r/>
    </w:p>
    <w:p>
      <w:r/>
      <w:r/>
    </w:p>
    <w:p>
      <w:pPr>
        <w:ind w:firstLine="567"/>
        <w:spacing w:after="160"/>
        <w:rPr>
          <w:rFonts w:eastAsia="Calibri"/>
          <w:b/>
          <w:i/>
        </w:rPr>
      </w:pPr>
      <w:r>
        <w:rPr>
          <w:rFonts w:eastAsia="Calibri"/>
          <w:b/>
          <w:bCs/>
          <w:i/>
          <w:iCs/>
        </w:rPr>
        <w:t xml:space="preserve">Информация о формах обратной связи ПАО «Россети» в рамках системы предупреждения и профилактики коррупции:</w:t>
      </w:r>
      <w:r>
        <w:rPr>
          <w:rFonts w:eastAsia="Calibri"/>
          <w:b/>
          <w:i/>
        </w:rPr>
      </w:r>
      <w:r>
        <w:rPr>
          <w:rFonts w:eastAsia="Calibri"/>
          <w:b/>
          <w:i/>
        </w:rPr>
      </w:r>
    </w:p>
    <w:p>
      <w:pPr>
        <w:rPr>
          <w:rFonts w:eastAsia="Calibri"/>
          <w:bCs/>
          <w:i/>
          <w:iCs/>
          <w:shd w:val="clear" w:color="auto" w:fill="ffffff"/>
        </w:rPr>
      </w:pPr>
      <w:r>
        <w:rPr>
          <w:rFonts w:eastAsia="Calibri"/>
          <w:bCs/>
          <w:i/>
        </w:rPr>
        <w:t xml:space="preserve">          В ПАО «</w:t>
      </w:r>
      <w:r>
        <w:rPr>
          <w:rFonts w:eastAsia="Calibri"/>
          <w:bCs/>
          <w:i/>
          <w:iCs/>
        </w:rPr>
        <w:t xml:space="preserve">Россети</w:t>
      </w:r>
      <w:r>
        <w:rPr>
          <w:rFonts w:eastAsia="Calibri"/>
          <w:bCs/>
          <w:i/>
        </w:rPr>
        <w:t xml:space="preserve">» действует система </w:t>
      </w:r>
      <w:r>
        <w:rPr>
          <w:rFonts w:eastAsia="Calibri"/>
          <w:bCs/>
          <w:i/>
          <w:iCs/>
        </w:rPr>
        <w:t xml:space="preserve">предупреждения и профилактики коррупции.</w:t>
      </w:r>
      <w:r>
        <w:rPr>
          <w:rFonts w:eastAsia="Calibri"/>
          <w:bCs/>
          <w:i/>
        </w:rPr>
        <w:t xml:space="preserve"> </w:t>
      </w:r>
      <w:r>
        <w:rPr>
          <w:rFonts w:eastAsia="Calibri"/>
          <w:bCs/>
          <w:i/>
          <w:shd w:val="clear" w:color="auto" w:fill="ffffff"/>
        </w:rPr>
        <w:t xml:space="preserve">Информацию о возможных фактах коррупции в ПАО «</w:t>
      </w:r>
      <w:r>
        <w:rPr>
          <w:rFonts w:eastAsia="Calibri"/>
          <w:bCs/>
          <w:i/>
          <w:iCs/>
        </w:rPr>
        <w:t xml:space="preserve">Россети</w:t>
      </w:r>
      <w:r>
        <w:rPr>
          <w:rFonts w:eastAsia="Calibri"/>
          <w:bCs/>
          <w:i/>
          <w:shd w:val="clear" w:color="auto" w:fill="ffffff"/>
        </w:rPr>
        <w:t xml:space="preserve">», а также дочерних зависимых обществах и их филиалах можно сообщить, заполнив </w:t>
      </w:r>
      <w:hyperlink r:id="rId58" w:tooltip="http://www.rosseti.ru/about/contacts/opinion/" w:history="1">
        <w:r>
          <w:rPr>
            <w:rFonts w:eastAsia="Calibri"/>
            <w:bCs/>
            <w:i/>
            <w:u w:val="single"/>
            <w:shd w:val="clear" w:color="auto" w:fill="ffffff"/>
          </w:rPr>
          <w:t xml:space="preserve">форму обра</w:t>
        </w:r>
        <w:r>
          <w:rPr>
            <w:rFonts w:eastAsia="Calibri"/>
            <w:bCs/>
            <w:i/>
            <w:u w:val="single"/>
            <w:shd w:val="clear" w:color="auto" w:fill="ffffff"/>
          </w:rPr>
          <w:t xml:space="preserve">тной связи</w:t>
        </w:r>
      </w:hyperlink>
      <w:r>
        <w:rPr>
          <w:rFonts w:eastAsia="Calibri"/>
          <w:bCs/>
          <w:i/>
        </w:rPr>
        <w:t xml:space="preserve"> на корпоративном веб-сайте</w:t>
      </w:r>
      <w:r>
        <w:rPr>
          <w:rFonts w:eastAsia="Calibri"/>
          <w:bCs/>
          <w:i/>
          <w:shd w:val="clear" w:color="auto" w:fill="ffffff"/>
        </w:rPr>
        <w:t xml:space="preserve">, позвонив по телефону «Горячей линии» +7 495 664-8494, или направив письменное обращение по адресу:</w:t>
      </w:r>
      <w:r>
        <w:rPr>
          <w:rFonts w:eastAsia="Calibri"/>
          <w:bCs/>
          <w:sz w:val="18"/>
          <w:szCs w:val="18"/>
          <w:lang w:eastAsia="en-US"/>
        </w:rPr>
        <w:t xml:space="preserve"> </w:t>
      </w:r>
      <w:r>
        <w:rPr>
          <w:rFonts w:eastAsia="Calibri"/>
          <w:bCs/>
          <w:i/>
          <w:shd w:val="clear" w:color="auto" w:fill="ffffff"/>
        </w:rPr>
        <w:t xml:space="preserve">121353, Москва, ул. Беловежская, д. 4</w:t>
      </w:r>
      <w:r>
        <w:rPr>
          <w:rFonts w:eastAsia="Calibri"/>
          <w:bCs/>
          <w:i/>
          <w:iCs/>
          <w:shd w:val="clear" w:color="auto" w:fill="ffffff"/>
        </w:rPr>
        <w:t xml:space="preserve">.</w:t>
      </w:r>
      <w:r>
        <w:rPr>
          <w:rFonts w:eastAsia="Calibri"/>
          <w:bCs/>
          <w:i/>
          <w:iCs/>
          <w:shd w:val="clear" w:color="auto" w:fill="ffffff"/>
        </w:rPr>
      </w:r>
      <w:r>
        <w:rPr>
          <w:rFonts w:eastAsia="Calibri"/>
          <w:bCs/>
          <w:i/>
          <w:iCs/>
          <w:shd w:val="clear" w:color="auto" w:fill="ffffff"/>
        </w:rPr>
      </w:r>
    </w:p>
    <w:p>
      <w:pPr>
        <w:jc w:val="left"/>
        <w:spacing w:after="160" w:line="259" w:lineRule="auto"/>
        <w:rPr>
          <w:rFonts w:eastAsia="Calibri"/>
          <w:bCs/>
          <w:i/>
          <w:iCs/>
          <w:shd w:val="clear" w:color="auto" w:fill="ffffff"/>
        </w:rPr>
      </w:pPr>
      <w:r/>
      <w:bookmarkStart w:id="178" w:name="_ФОРМА_Справка_о"/>
      <w:r/>
      <w:bookmarkEnd w:id="178"/>
      <w:r>
        <w:rPr>
          <w:rFonts w:eastAsia="Calibri"/>
          <w:bCs/>
          <w:i/>
          <w:iCs/>
          <w:shd w:val="clear" w:color="auto" w:fill="ffffff"/>
        </w:rPr>
        <w:br w:type="page" w:clear="all"/>
      </w:r>
      <w:r>
        <w:rPr>
          <w:rFonts w:eastAsia="Calibri"/>
          <w:bCs/>
          <w:i/>
          <w:iCs/>
          <w:shd w:val="clear" w:color="auto" w:fill="ffffff"/>
        </w:rPr>
      </w:r>
      <w:r>
        <w:rPr>
          <w:rFonts w:eastAsia="Calibri"/>
          <w:bCs/>
          <w:i/>
          <w:iCs/>
          <w:shd w:val="clear" w:color="auto" w:fill="ffffff"/>
        </w:rPr>
      </w:r>
    </w:p>
    <w:p>
      <w:pPr>
        <w:pStyle w:val="1218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18"/>
        <w:rPr>
          <w:highlight w:val="none"/>
        </w:rPr>
      </w:pPr>
      <w:r/>
      <w:bookmarkStart w:id="265" w:name="_Toc55"/>
      <w:r>
        <w:rPr>
          <w:highlight w:val="none"/>
        </w:rPr>
      </w:r>
      <w:bookmarkStart w:id="179" w:name="_ФОРМА_СПРА_8"/>
      <w:r>
        <w:rPr>
          <w:highlight w:val="none"/>
        </w:rPr>
      </w:r>
      <w:bookmarkStart w:id="180" w:name="_ФОРМА_СПРА_7"/>
      <w:r>
        <w:rPr>
          <w:highlight w:val="none"/>
        </w:rPr>
      </w:r>
      <w:bookmarkStart w:id="181" w:name="_ФОРМА_СПРА_6"/>
      <w:r>
        <w:rPr>
          <w:highlight w:val="none"/>
        </w:rPr>
      </w:r>
      <w:bookmarkStart w:id="182" w:name="_ФОРМА_СПРА_5"/>
      <w:r>
        <w:rPr>
          <w:highlight w:val="none"/>
        </w:rPr>
      </w:r>
      <w:bookmarkStart w:id="183" w:name="_ФОРМА_СПРА_2"/>
      <w:r>
        <w:rPr>
          <w:highlight w:val="none"/>
        </w:rPr>
      </w:r>
      <w:bookmarkEnd w:id="179"/>
      <w:r>
        <w:rPr>
          <w:highlight w:val="none"/>
        </w:rPr>
      </w:r>
      <w:bookmarkEnd w:id="180"/>
      <w:r>
        <w:rPr>
          <w:highlight w:val="none"/>
        </w:rPr>
      </w:r>
      <w:bookmarkEnd w:id="181"/>
      <w:r>
        <w:rPr>
          <w:highlight w:val="none"/>
        </w:rPr>
      </w:r>
      <w:bookmarkEnd w:id="182"/>
      <w:r>
        <w:rPr>
          <w:highlight w:val="none"/>
        </w:rPr>
      </w:r>
      <w:bookmarkEnd w:id="183"/>
      <w:r>
        <w:rPr>
          <w:sz w:val="24"/>
          <w:szCs w:val="24"/>
          <w:highlight w:val="none"/>
        </w:rPr>
        <w:t xml:space="preserve">ФОРМА СПРАВКА О ПЕРЕЧНЕ И ОБЪЕМАХ ВЫПОЛНЕНИЯ АНАЛОГИЧНЫХ ДОГОВОРОВ</w:t>
      </w:r>
      <w:r>
        <w:rPr>
          <w:highlight w:val="none"/>
        </w:rPr>
      </w:r>
      <w:bookmarkEnd w:id="265"/>
      <w:r/>
      <w:r>
        <w:rPr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  <w:t xml:space="preserve">Справка о перечне и объемах выполнения аналогичных договоров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spacing w:after="0"/>
        <w:rPr>
          <w:highlight w:val="none"/>
        </w:rPr>
      </w:pPr>
      <w:r>
        <w:rPr>
          <w:highlight w:val="none"/>
        </w:rPr>
        <w:t xml:space="preserve">Наименование закупки _______________________________________________________________________________ Лот № ________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spacing w:after="0"/>
        <w:rPr>
          <w:highlight w:val="none"/>
        </w:rPr>
      </w:pPr>
      <w:r>
        <w:rPr>
          <w:highlight w:val="none"/>
        </w:rPr>
        <w:t xml:space="preserve">Номер изве</w:t>
      </w:r>
      <w:r>
        <w:rPr>
          <w:highlight w:val="none"/>
        </w:rPr>
        <w:t xml:space="preserve">щения о проведении закупки в ЕИС: _________________________________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spacing w:after="0"/>
        <w:rPr>
          <w:highlight w:val="none"/>
        </w:rPr>
      </w:pPr>
      <w:r>
        <w:rPr>
          <w:highlight w:val="none"/>
        </w:rPr>
        <w:t xml:space="preserve">Наименование участника закупки: _____________________________________________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spacing w:after="0"/>
        <w:rPr>
          <w:highlight w:val="none"/>
        </w:rPr>
      </w:pPr>
      <w:r>
        <w:rPr>
          <w:highlight w:val="none"/>
        </w:rPr>
        <w:t xml:space="preserve">Юридический адрес (место нахождения) участника закупки: _______________________</w:t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14742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134"/>
        <w:gridCol w:w="2381"/>
        <w:gridCol w:w="2552"/>
        <w:gridCol w:w="1984"/>
        <w:gridCol w:w="1560"/>
        <w:gridCol w:w="1559"/>
        <w:gridCol w:w="3118"/>
      </w:tblGrid>
      <w:tr>
        <w:tblPrEx/>
        <w:trPr>
          <w:cantSplit/>
          <w:trHeight w:val="1565"/>
          <w:tblHeader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1517"/>
              <w:ind w:left="-79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№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1517"/>
              <w:ind w:left="-79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п/п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517"/>
              <w:ind w:left="-108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№ и дата договора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381" w:type="dxa"/>
            <w:vAlign w:val="center"/>
            <w:textDirection w:val="lrTb"/>
            <w:noWrap w:val="false"/>
          </w:tcPr>
          <w:p>
            <w:pPr>
              <w:pStyle w:val="1517"/>
              <w:ind w:left="-108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Сроки</w:t>
            </w:r>
            <w:r>
              <w:rPr>
                <w:sz w:val="20"/>
                <w:szCs w:val="20"/>
                <w:highlight w:val="none"/>
              </w:rPr>
              <w:t xml:space="preserve"> выполнения (год и месяц начала выполнения - год и месяц фактического окончания выполнения)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1517"/>
              <w:ind w:left="-108" w:right="-108"/>
              <w:jc w:val="center"/>
              <w:keepNext w:val="0"/>
              <w:spacing w:before="0" w:after="0"/>
              <w:widowControl w:val="off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 xml:space="preserve">Заказчик по договору</w:t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  <w:p>
            <w:pPr>
              <w:pStyle w:val="1517"/>
              <w:ind w:left="-108" w:right="-108"/>
              <w:jc w:val="center"/>
              <w:keepNext w:val="0"/>
              <w:spacing w:before="0" w:after="0"/>
              <w:widowControl w:val="off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 xml:space="preserve">(наименование, адрес, контактное лицо с указанием должности, контактные телефоны)</w:t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517"/>
              <w:ind w:left="-108" w:right="-108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Описание договора (объем и состав услуг, описание основных условий договора)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1517"/>
              <w:ind w:left="-109" w:right="-107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Сумма, рублей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1517"/>
              <w:ind w:left="-109" w:right="-107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(без НДС)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517"/>
              <w:ind w:left="-79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Сумма, рублей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1517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(с НДС)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3118" w:type="dxa"/>
            <w:vAlign w:val="center"/>
            <w:textDirection w:val="lrTb"/>
            <w:noWrap w:val="false"/>
          </w:tcPr>
          <w:p>
            <w:pPr>
              <w:pStyle w:val="1517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Стоимость аналогичных работ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1517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i/>
                <w:sz w:val="20"/>
                <w:szCs w:val="20"/>
                <w:highlight w:val="none"/>
              </w:rPr>
            </w:pPr>
            <w:r>
              <w:rPr>
                <w:i/>
                <w:sz w:val="20"/>
                <w:szCs w:val="20"/>
                <w:highlight w:val="none"/>
              </w:rPr>
              <w:t xml:space="preserve">(в случае если указанный договор включает в себя в том числе работы не являющиеся аналогичными)</w:t>
            </w:r>
            <w:r>
              <w:rPr>
                <w:i/>
                <w:sz w:val="20"/>
                <w:szCs w:val="20"/>
                <w:highlight w:val="none"/>
              </w:rPr>
            </w:r>
            <w:r>
              <w:rPr>
                <w:i/>
                <w:sz w:val="20"/>
                <w:szCs w:val="20"/>
                <w:highlight w:val="none"/>
              </w:rPr>
            </w:r>
          </w:p>
          <w:p>
            <w:pPr>
              <w:pStyle w:val="1517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Сумма, </w:t>
            </w:r>
            <w:r>
              <w:rPr>
                <w:sz w:val="20"/>
                <w:szCs w:val="20"/>
                <w:highlight w:val="none"/>
              </w:rPr>
              <w:t xml:space="preserve">руб. без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301"/>
          <w:tblHeader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1517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1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517"/>
              <w:ind w:left="-108" w:right="-108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2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2381" w:type="dxa"/>
            <w:vAlign w:val="center"/>
            <w:textDirection w:val="lrTb"/>
            <w:noWrap w:val="false"/>
          </w:tcPr>
          <w:p>
            <w:pPr>
              <w:pStyle w:val="1517"/>
              <w:ind w:left="-108" w:right="-108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3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1517"/>
              <w:ind w:left="-108" w:right="-108"/>
              <w:jc w:val="center"/>
              <w:keepNext w:val="0"/>
              <w:spacing w:before="0" w:after="0"/>
              <w:widowControl w:val="off"/>
              <w:rPr>
                <w:b/>
                <w:bCs/>
                <w:sz w:val="20"/>
                <w:szCs w:val="20"/>
                <w:highlight w:val="none"/>
              </w:rPr>
            </w:pPr>
            <w:r>
              <w:rPr>
                <w:b/>
                <w:bCs/>
                <w:sz w:val="20"/>
                <w:szCs w:val="20"/>
                <w:highlight w:val="none"/>
              </w:rPr>
              <w:t xml:space="preserve">4</w:t>
            </w:r>
            <w:r>
              <w:rPr>
                <w:b/>
                <w:bCs/>
                <w:sz w:val="20"/>
                <w:szCs w:val="20"/>
                <w:highlight w:val="none"/>
              </w:rPr>
            </w:r>
            <w:r>
              <w:rPr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517"/>
              <w:ind w:left="-108" w:right="-108"/>
              <w:jc w:val="center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5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1517"/>
              <w:ind w:left="-109" w:right="-107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6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517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7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3118" w:type="dxa"/>
            <w:vAlign w:val="center"/>
            <w:textDirection w:val="lrTb"/>
            <w:noWrap w:val="false"/>
          </w:tcPr>
          <w:p>
            <w:pPr>
              <w:pStyle w:val="1517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8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blHeader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1517"/>
              <w:jc w:val="center"/>
              <w:keepNext w:val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517"/>
              <w:ind w:left="-108" w:right="-108"/>
              <w:jc w:val="center"/>
              <w:keepNext w:val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381" w:type="dxa"/>
            <w:vAlign w:val="center"/>
            <w:textDirection w:val="lrTb"/>
            <w:noWrap w:val="false"/>
          </w:tcPr>
          <w:p>
            <w:pPr>
              <w:pStyle w:val="1517"/>
              <w:ind w:left="-108" w:right="-108"/>
              <w:jc w:val="center"/>
              <w:keepNext w:val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1517"/>
              <w:ind w:left="-108" w:right="-108"/>
              <w:jc w:val="center"/>
              <w:keepNext w:val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517"/>
              <w:jc w:val="center"/>
              <w:keepNext w:val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517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517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pStyle w:val="1517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250"/>
        </w:trPr>
        <w:tc>
          <w:tcPr>
            <w:tcW w:w="454" w:type="dxa"/>
            <w:textDirection w:val="lrTb"/>
            <w:noWrap w:val="false"/>
          </w:tcPr>
          <w:p>
            <w:pPr>
              <w:ind w:left="-79" w:right="-108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519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1519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519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33"/>
              <w:tabs>
                <w:tab w:val="left" w:pos="0" w:leader="none"/>
              </w:tabs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519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519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519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250"/>
        </w:trPr>
        <w:tc>
          <w:tcPr>
            <w:tcW w:w="454" w:type="dxa"/>
            <w:textDirection w:val="lrTb"/>
            <w:noWrap w:val="false"/>
          </w:tcPr>
          <w:p>
            <w:pPr>
              <w:ind w:left="176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…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519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1519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519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33"/>
              <w:tabs>
                <w:tab w:val="left" w:pos="0" w:leader="none"/>
              </w:tabs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519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519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519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70"/>
        </w:trPr>
        <w:tc>
          <w:tcPr>
            <w:gridSpan w:val="5"/>
            <w:tcW w:w="8505" w:type="dxa"/>
            <w:textDirection w:val="lrTb"/>
            <w:noWrap w:val="false"/>
          </w:tcPr>
          <w:p>
            <w:pPr>
              <w:pStyle w:val="1519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ВСЕГО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519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519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519"/>
              <w:jc w:val="center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</w:tbl>
    <w:p>
      <w:pPr>
        <w:ind w:right="424"/>
        <w:spacing w:after="0"/>
        <w:tabs>
          <w:tab w:val="left" w:pos="482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right="424"/>
        <w:spacing w:after="0"/>
        <w:tabs>
          <w:tab w:val="left" w:pos="482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  <w:tc>
          <w:tcPr>
            <w:tcBorders>
              <w:bottom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highlight w:val="none"/>
                <w:vertAlign w:val="subscript"/>
              </w:rPr>
            </w:pPr>
            <w:r>
              <w:rPr>
                <w:bCs/>
                <w:sz w:val="28"/>
                <w:szCs w:val="28"/>
                <w:highlight w:val="none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highlight w:val="none"/>
                <w:vertAlign w:val="subscript"/>
              </w:rPr>
            </w:pP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highlight w:val="none"/>
                <w:vertAlign w:val="subscript"/>
              </w:rPr>
            </w:pPr>
            <w:r>
              <w:rPr>
                <w:bCs/>
                <w:sz w:val="28"/>
                <w:szCs w:val="28"/>
                <w:highlight w:val="none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</w:p>
        </w:tc>
      </w:tr>
    </w:tbl>
    <w:p>
      <w:pPr>
        <w:ind w:right="424"/>
        <w:spacing w:after="0"/>
        <w:tabs>
          <w:tab w:val="left" w:pos="4820" w:leader="none"/>
        </w:tabs>
        <w:rPr>
          <w:highlight w:val="none"/>
        </w:rPr>
      </w:pPr>
      <w:r>
        <w:rPr>
          <w:b/>
          <w:bCs/>
          <w:highlight w:val="none"/>
        </w:rPr>
        <w:t xml:space="preserve">м.п.</w:t>
      </w:r>
      <w:r>
        <w:rPr>
          <w:highlight w:val="none"/>
        </w:rPr>
      </w:r>
      <w:r>
        <w:rPr>
          <w:highlight w:val="none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spacing w:after="0"/>
        <w:rPr>
          <w:b/>
          <w:highlight w:val="none"/>
        </w:rPr>
      </w:pPr>
      <w:r>
        <w:rPr>
          <w:b/>
          <w:highlight w:val="none"/>
        </w:rPr>
        <w:t xml:space="preserve">Инструкции по заполнению: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530"/>
        <w:numPr>
          <w:ilvl w:val="0"/>
          <w:numId w:val="47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highlight w:val="none"/>
        </w:rPr>
      </w:r>
      <w:r>
        <w:rPr>
          <w:highlight w:val="none"/>
        </w:rPr>
      </w:r>
    </w:p>
    <w:p>
      <w:pPr>
        <w:pStyle w:val="1530"/>
        <w:numPr>
          <w:ilvl w:val="0"/>
          <w:numId w:val="47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>
        <w:rPr>
          <w:highlight w:val="none"/>
        </w:rPr>
      </w:r>
      <w:r>
        <w:rPr>
          <w:highlight w:val="none"/>
        </w:rPr>
      </w:r>
    </w:p>
    <w:p>
      <w:pPr>
        <w:pStyle w:val="1530"/>
        <w:numPr>
          <w:ilvl w:val="0"/>
          <w:numId w:val="47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Участн</w:t>
      </w:r>
      <w:r>
        <w:rPr>
          <w:highlight w:val="none"/>
        </w:rPr>
        <w:t xml:space="preserve">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предпринимателя.</w:t>
      </w:r>
      <w:r>
        <w:rPr>
          <w:highlight w:val="none"/>
        </w:rPr>
      </w:r>
      <w:r>
        <w:rPr>
          <w:highlight w:val="none"/>
        </w:rPr>
      </w:r>
    </w:p>
    <w:p>
      <w:pPr>
        <w:pStyle w:val="1530"/>
        <w:numPr>
          <w:ilvl w:val="0"/>
          <w:numId w:val="47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В этой форме Участник закупки ук</w:t>
      </w:r>
      <w:r>
        <w:rPr>
          <w:highlight w:val="none"/>
        </w:rPr>
        <w:t xml:space="preserve">азывает перечень и годовые объемы выполнения всех аналогичных договоров, сопоставимых по объемам, срокам выполнения и прочим требованиям, установленным в документации о закупке.</w:t>
      </w:r>
      <w:r>
        <w:rPr>
          <w:highlight w:val="none"/>
        </w:rPr>
      </w:r>
      <w:r>
        <w:rPr>
          <w:highlight w:val="none"/>
        </w:rPr>
      </w:r>
    </w:p>
    <w:p>
      <w:pPr>
        <w:pStyle w:val="1530"/>
        <w:numPr>
          <w:ilvl w:val="0"/>
          <w:numId w:val="47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Участник закупки должен указать фактически выполненные по договорам объемы раб</w:t>
      </w:r>
      <w:r>
        <w:rPr>
          <w:highlight w:val="none"/>
        </w:rPr>
        <w:t xml:space="preserve">от.</w:t>
      </w:r>
      <w:r>
        <w:rPr>
          <w:highlight w:val="none"/>
        </w:rPr>
      </w:r>
      <w:r>
        <w:rPr>
          <w:highlight w:val="none"/>
        </w:rPr>
      </w:r>
    </w:p>
    <w:p>
      <w:pPr>
        <w:pStyle w:val="1530"/>
        <w:numPr>
          <w:ilvl w:val="0"/>
          <w:numId w:val="47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Участник закупки должен указать опыт исполнения договоров за последние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Интернет.</w:t>
      </w:r>
      <w:r>
        <w:rPr>
          <w:highlight w:val="none"/>
        </w:rPr>
      </w:r>
      <w:r>
        <w:rPr>
          <w:highlight w:val="none"/>
        </w:rPr>
      </w:r>
    </w:p>
    <w:p>
      <w:pPr>
        <w:pStyle w:val="1530"/>
        <w:numPr>
          <w:ilvl w:val="0"/>
          <w:numId w:val="47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В случае е</w:t>
      </w:r>
      <w:r>
        <w:rPr>
          <w:highlight w:val="none"/>
        </w:rPr>
        <w:t xml:space="preserve">сли Участник указывает в настоящей справке сведения о договоре, включающем в себя как объем аналогичных работ, так и объем работ, не являющихся аналогичными в соответствии с требованиями, указанными в документации о закупке, в таком случае Участник должен </w:t>
      </w:r>
      <w:r>
        <w:rPr>
          <w:highlight w:val="none"/>
        </w:rPr>
        <w:t xml:space="preserve">в гр. 8 данной формы указать объем аналогичных работ, выполненных по указанному договору выраженный в рублях без учета НДС.</w:t>
      </w:r>
      <w:r>
        <w:rPr>
          <w:highlight w:val="none"/>
        </w:rPr>
      </w:r>
      <w:r>
        <w:rPr>
          <w:highlight w:val="none"/>
        </w:rPr>
      </w:r>
    </w:p>
    <w:p>
      <w:pPr>
        <w:pStyle w:val="1530"/>
        <w:numPr>
          <w:ilvl w:val="0"/>
          <w:numId w:val="47"/>
        </w:numPr>
        <w:ind w:left="0" w:firstLine="709"/>
        <w:jc w:val="both"/>
        <w:rPr>
          <w:highlight w:val="none"/>
        </w:rPr>
      </w:pPr>
      <w:r>
        <w:rPr>
          <w:b/>
          <w:highlight w:val="none"/>
        </w:rPr>
        <w:t xml:space="preserve">Участнику закупки должен приложить файл данной формы, выполненный в редактируемом формате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jc w:val="left"/>
        <w:spacing w:after="160" w:line="259" w:lineRule="auto"/>
        <w:rPr>
          <w:b/>
          <w:highlight w:val="none"/>
        </w:rPr>
      </w:pPr>
      <w:r>
        <w:rPr>
          <w:highlight w:val="none"/>
        </w:rPr>
      </w:r>
      <w:bookmarkStart w:id="186" w:name="_ФОРМА_Справка_о_4"/>
      <w:r>
        <w:rPr>
          <w:highlight w:val="none"/>
        </w:rPr>
      </w:r>
      <w:bookmarkEnd w:id="186"/>
      <w:r>
        <w:rPr>
          <w:b/>
          <w:highlight w:val="none"/>
        </w:rPr>
      </w:r>
      <w:r>
        <w:rPr>
          <w:b/>
          <w:highlight w:val="none"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hd w:val="nil" w:color="auto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218"/>
        <w:rPr>
          <w:rFonts w:eastAsiaTheme="majorEastAsia"/>
          <w:sz w:val="24"/>
          <w:szCs w:val="24"/>
          <w:highlight w:val="none"/>
        </w:rPr>
      </w:pPr>
      <w:r/>
      <w:bookmarkStart w:id="266" w:name="_Toc56"/>
      <w:r>
        <w:rPr>
          <w:highlight w:val="none"/>
        </w:rPr>
      </w:r>
      <w:bookmarkStart w:id="195" w:name="_ФОРМА_Комм"/>
      <w:r>
        <w:rPr>
          <w:highlight w:val="none"/>
        </w:rPr>
      </w:r>
      <w:bookmarkStart w:id="196" w:name="_ФОРМА_Коммерческое_предложение"/>
      <w:r>
        <w:rPr>
          <w:highlight w:val="none"/>
        </w:rPr>
      </w:r>
      <w:bookmarkEnd w:id="195"/>
      <w:r>
        <w:rPr>
          <w:highlight w:val="none"/>
        </w:rPr>
      </w:r>
      <w:bookmarkEnd w:id="196"/>
      <w:r>
        <w:rPr>
          <w:sz w:val="24"/>
          <w:szCs w:val="24"/>
          <w:highlight w:val="none"/>
        </w:rPr>
        <w:t xml:space="preserve">ФОРМА КОММЕРЧЕСКОЕ П</w:t>
      </w:r>
      <w:r>
        <w:rPr>
          <w:sz w:val="24"/>
          <w:szCs w:val="24"/>
          <w:highlight w:val="none"/>
        </w:rPr>
        <w:t xml:space="preserve">РЕДЛОЖЕНИЕ</w:t>
      </w:r>
      <w:r>
        <w:rPr>
          <w:rFonts w:eastAsiaTheme="majorEastAsia"/>
          <w:sz w:val="24"/>
          <w:szCs w:val="24"/>
          <w:highlight w:val="none"/>
        </w:rPr>
      </w:r>
      <w:bookmarkEnd w:id="266"/>
      <w:r/>
      <w:r>
        <w:rPr>
          <w:rFonts w:eastAsiaTheme="majorEastAsia"/>
          <w:sz w:val="24"/>
          <w:szCs w:val="24"/>
          <w:highlight w:val="none"/>
        </w:rPr>
      </w:r>
    </w:p>
    <w:p>
      <w:pPr>
        <w:jc w:val="center"/>
        <w:rPr>
          <w:highlight w:val="none"/>
        </w:rPr>
      </w:pPr>
      <w:r>
        <w:rPr>
          <w:highlight w:val="none"/>
        </w:rPr>
        <w:t xml:space="preserve">(представляется в составе ценового предложения)</w:t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rPr>
          <w:b/>
        </w:rPr>
      </w:pPr>
      <w:r>
        <w:rPr>
          <w:highlight w:val="none"/>
        </w:rPr>
        <w:t xml:space="preserve">Форма коммерческого предложения участника закупки представлена в Приложении № 5 к настоящей документации о закупке</w:t>
      </w:r>
      <w:r>
        <w:rPr>
          <w:highlight w:val="none"/>
        </w:rPr>
        <w:t xml:space="preserve">.</w:t>
      </w:r>
      <w:r>
        <w:rPr>
          <w:b/>
        </w:rPr>
      </w:r>
      <w:r>
        <w:rPr>
          <w:b/>
        </w:rPr>
      </w:r>
    </w:p>
    <w:p>
      <w:pPr>
        <w:numPr>
          <w:ilvl w:val="0"/>
          <w:numId w:val="13"/>
        </w:numPr>
        <w:ind w:left="426"/>
        <w:spacing w:after="0"/>
        <w:rPr>
          <w:b/>
          <w:highlight w:val="yellow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b/>
          <w:highlight w:val="yellow"/>
        </w:rPr>
      </w:r>
      <w:r>
        <w:rPr>
          <w:b/>
          <w:highlight w:val="yellow"/>
        </w:rPr>
      </w:r>
      <w:r>
        <w:rPr>
          <w:b/>
          <w:highlight w:val="yellow"/>
        </w:rPr>
      </w:r>
    </w:p>
    <w:p>
      <w:pPr>
        <w:pStyle w:val="1217"/>
        <w:numPr>
          <w:ilvl w:val="0"/>
          <w:numId w:val="4"/>
        </w:numPr>
        <w:ind w:left="0" w:firstLine="567"/>
        <w:pageBreakBefore/>
        <w:spacing w:before="0" w:after="0"/>
        <w:rPr>
          <w:rStyle w:val="1388"/>
          <w:rFonts w:ascii="Times New Roman" w:hAnsi="Times New Roman" w:cs="Times New Roman"/>
          <w:b w:val="0"/>
          <w:caps/>
          <w:color w:val="auto"/>
          <w:sz w:val="28"/>
          <w:szCs w:val="28"/>
        </w:rPr>
      </w:pPr>
      <w:r/>
      <w:bookmarkStart w:id="267" w:name="_Toc57"/>
      <w:r/>
      <w:bookmarkStart w:id="198" w:name="_IV._ПРОЕКТ"/>
      <w:r/>
      <w:bookmarkStart w:id="199" w:name="_ФОРМА_15._Справка"/>
      <w:r/>
      <w:bookmarkStart w:id="200" w:name="_ФОРМА__Справка"/>
      <w:r/>
      <w:bookmarkStart w:id="201" w:name="_ПРОЕКТ_ДОГОВОРА"/>
      <w:r/>
      <w:bookmarkEnd w:id="198"/>
      <w:r/>
      <w:bookmarkEnd w:id="199"/>
      <w:r/>
      <w:bookmarkEnd w:id="200"/>
      <w:r/>
      <w:bookmarkEnd w:id="201"/>
      <w:r>
        <w:rPr>
          <w:rStyle w:val="1388"/>
          <w:rFonts w:ascii="Times New Roman" w:hAnsi="Times New Roman" w:cs="Times New Roman"/>
          <w:caps/>
          <w:color w:val="auto"/>
          <w:sz w:val="28"/>
          <w:szCs w:val="28"/>
        </w:rPr>
        <w:t xml:space="preserve">ПРОЕКТ ДОГОВОРА</w:t>
      </w:r>
      <w:r>
        <w:rPr>
          <w:rStyle w:val="1388"/>
          <w:rFonts w:ascii="Times New Roman" w:hAnsi="Times New Roman" w:cs="Times New Roman"/>
          <w:b w:val="0"/>
          <w:caps/>
          <w:color w:val="auto"/>
          <w:sz w:val="28"/>
          <w:szCs w:val="28"/>
        </w:rPr>
      </w:r>
      <w:bookmarkEnd w:id="267"/>
      <w:r/>
      <w:r>
        <w:rPr>
          <w:rStyle w:val="1388"/>
          <w:rFonts w:ascii="Times New Roman" w:hAnsi="Times New Roman" w:cs="Times New Roman"/>
          <w:b w:val="0"/>
          <w:caps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rPr>
          <w:bCs/>
        </w:rPr>
        <w:t xml:space="preserve">Проект договора представлен в виде отдельного ф</w:t>
      </w:r>
      <w:r>
        <w:rPr>
          <w:bCs/>
        </w:rPr>
        <w:t xml:space="preserve">айла в составе Приложения №1 к документации о закупке.</w:t>
      </w:r>
      <w:r/>
    </w:p>
    <w:p>
      <w:pPr>
        <w:jc w:val="left"/>
        <w:spacing w:after="0"/>
        <w:rPr>
          <w:bCs/>
        </w:rPr>
      </w:pPr>
      <w:r>
        <w:rPr>
          <w:rStyle w:val="1388"/>
          <w:caps/>
          <w:sz w:val="28"/>
          <w:szCs w:val="28"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1217"/>
        <w:numPr>
          <w:ilvl w:val="0"/>
          <w:numId w:val="4"/>
        </w:numPr>
        <w:ind w:left="0" w:firstLine="567"/>
        <w:spacing w:before="0" w:after="0"/>
        <w:rPr>
          <w:rStyle w:val="1388"/>
          <w:rFonts w:ascii="Times New Roman" w:hAnsi="Times New Roman" w:cs="Times New Roman"/>
          <w:b w:val="0"/>
          <w:color w:val="auto"/>
          <w:sz w:val="28"/>
          <w:szCs w:val="28"/>
        </w:rPr>
      </w:pPr>
      <w:r/>
      <w:bookmarkStart w:id="268" w:name="_Toc58"/>
      <w:r/>
      <w:bookmarkStart w:id="203" w:name="_V._ТЕХНИЧЕ"/>
      <w:r/>
      <w:bookmarkStart w:id="204" w:name="_ТЕХНИЧЕСКАЯ_ЧАСТЬ"/>
      <w:r/>
      <w:bookmarkEnd w:id="203"/>
      <w:r/>
      <w:bookmarkEnd w:id="204"/>
      <w:r>
        <w:rPr>
          <w:rStyle w:val="1388"/>
          <w:rFonts w:ascii="Times New Roman" w:hAnsi="Times New Roman" w:cs="Times New Roman"/>
          <w:color w:val="auto"/>
          <w:sz w:val="28"/>
          <w:szCs w:val="28"/>
        </w:rPr>
        <w:t xml:space="preserve">ТЕХНИЧЕСКАЯ ЧАСТЬ</w:t>
      </w:r>
      <w:r>
        <w:rPr>
          <w:rStyle w:val="1388"/>
          <w:rFonts w:ascii="Times New Roman" w:hAnsi="Times New Roman" w:cs="Times New Roman"/>
          <w:b w:val="0"/>
          <w:color w:val="auto"/>
          <w:sz w:val="28"/>
          <w:szCs w:val="28"/>
        </w:rPr>
      </w:r>
      <w:bookmarkEnd w:id="268"/>
      <w:r/>
      <w:r>
        <w:rPr>
          <w:rStyle w:val="1388"/>
          <w:rFonts w:ascii="Times New Roman" w:hAnsi="Times New Roman" w:cs="Times New Roman"/>
          <w:b w:val="0"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rPr>
          <w:bCs/>
        </w:rPr>
        <w:t xml:space="preserve">Технические требования к продукции (предмету закупки) представлены в виде отдельного файла в составе Приложения №2 к документации о закупке.</w:t>
      </w:r>
      <w:r/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left"/>
        <w:spacing w:after="160" w:line="259" w:lineRule="auto"/>
        <w:rPr>
          <w:rStyle w:val="1388"/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Style w:val="1388"/>
          <w:rFonts w:ascii="Times New Roman" w:hAnsi="Times New Roman" w:cs="Times New Roman"/>
          <w:color w:val="auto"/>
          <w:sz w:val="28"/>
          <w:szCs w:val="28"/>
        </w:rPr>
        <w:br w:type="page" w:clear="all"/>
      </w:r>
      <w:r>
        <w:rPr>
          <w:rStyle w:val="1388"/>
          <w:rFonts w:ascii="Times New Roman" w:hAnsi="Times New Roman" w:cs="Times New Roman"/>
          <w:b/>
          <w:bCs/>
          <w:color w:val="auto"/>
          <w:sz w:val="28"/>
          <w:szCs w:val="28"/>
        </w:rPr>
      </w:r>
      <w:r>
        <w:rPr>
          <w:rStyle w:val="1388"/>
          <w:rFonts w:ascii="Times New Roman" w:hAnsi="Times New Roman" w:cs="Times New Roman"/>
          <w:b/>
          <w:bCs/>
          <w:color w:val="auto"/>
          <w:sz w:val="28"/>
          <w:szCs w:val="28"/>
        </w:rPr>
      </w:r>
    </w:p>
    <w:p>
      <w:pPr>
        <w:pStyle w:val="1217"/>
        <w:numPr>
          <w:ilvl w:val="0"/>
          <w:numId w:val="4"/>
        </w:numPr>
        <w:ind w:left="0" w:firstLine="567"/>
        <w:spacing w:before="0" w:after="0"/>
        <w:rPr>
          <w:rStyle w:val="1388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269" w:name="_Toc59"/>
      <w:r/>
      <w:bookmarkStart w:id="206" w:name="_ОБОСНОВАНИЕ_НМЦ"/>
      <w:r/>
      <w:bookmarkEnd w:id="206"/>
      <w:r>
        <w:rPr>
          <w:rStyle w:val="1388"/>
          <w:rFonts w:ascii="Times New Roman" w:hAnsi="Times New Roman" w:cs="Times New Roman"/>
          <w:color w:val="auto"/>
          <w:sz w:val="28"/>
          <w:szCs w:val="28"/>
        </w:rPr>
        <w:t xml:space="preserve">ОБОСНОВАНИЕ НМЦ</w:t>
      </w:r>
      <w:r>
        <w:rPr>
          <w:rStyle w:val="1388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bookmarkEnd w:id="269"/>
      <w:r/>
      <w:r>
        <w:rPr>
          <w:rStyle w:val="1388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rPr>
          <w:bCs/>
        </w:rPr>
        <w:t xml:space="preserve">Обоснование НМЦ представлено в виде отдельного файла в составе Приложения №3 к документации о закупке.</w:t>
      </w:r>
      <w:r/>
    </w:p>
    <w:p>
      <w:pPr>
        <w:jc w:val="left"/>
        <w:spacing w:after="160" w:line="259" w:lineRule="auto"/>
        <w:rPr>
          <w:bCs/>
        </w:rPr>
      </w:pPr>
      <w:r>
        <w:rPr>
          <w:bCs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1217"/>
        <w:numPr>
          <w:ilvl w:val="0"/>
          <w:numId w:val="4"/>
        </w:numPr>
        <w:ind w:left="0" w:firstLine="567"/>
        <w:spacing w:before="0" w:after="0"/>
      </w:pPr>
      <w:r/>
      <w:bookmarkStart w:id="270" w:name="_Toc60"/>
      <w:r/>
      <w:bookmarkStart w:id="208" w:name="_VII._ТИПОВ"/>
      <w:r/>
      <w:bookmarkStart w:id="209" w:name="_Типовые_формы_независимых"/>
      <w:r/>
      <w:bookmarkStart w:id="210" w:name="_Hlk121332483"/>
      <w:r/>
      <w:bookmarkEnd w:id="208"/>
      <w:r/>
      <w:bookmarkEnd w:id="209"/>
      <w:r>
        <w:rPr>
          <w:sz w:val="28"/>
          <w:szCs w:val="28"/>
        </w:rPr>
        <w:t xml:space="preserve">ТИПОВ</w:t>
      </w:r>
      <w:r>
        <w:rPr>
          <w:rFonts w:eastAsiaTheme="majorEastAsia"/>
          <w:sz w:val="28"/>
          <w:szCs w:val="28"/>
        </w:rPr>
        <w:t xml:space="preserve">ЫЕ</w:t>
      </w:r>
      <w:r>
        <w:rPr>
          <w:sz w:val="28"/>
          <w:szCs w:val="28"/>
        </w:rPr>
        <w:t xml:space="preserve"> ФОРМ</w:t>
      </w:r>
      <w:r>
        <w:rPr>
          <w:rFonts w:eastAsiaTheme="majorEastAsia"/>
          <w:sz w:val="28"/>
          <w:szCs w:val="28"/>
        </w:rPr>
        <w:t xml:space="preserve">Ы</w:t>
      </w:r>
      <w:r>
        <w:rPr>
          <w:sz w:val="28"/>
          <w:szCs w:val="28"/>
        </w:rPr>
        <w:t xml:space="preserve"> НЕЗАВИСИМ</w:t>
      </w:r>
      <w:r>
        <w:rPr>
          <w:rFonts w:eastAsiaTheme="majorEastAsia"/>
          <w:sz w:val="28"/>
          <w:szCs w:val="28"/>
        </w:rPr>
        <w:t xml:space="preserve">ЫХ ГАРАНТИЙ</w:t>
      </w:r>
      <w:bookmarkEnd w:id="210"/>
      <w:r/>
      <w:bookmarkEnd w:id="270"/>
      <w:r/>
      <w:r/>
    </w:p>
    <w:p>
      <w:pPr>
        <w:jc w:val="center"/>
        <w:spacing w:after="0"/>
        <w:widowControl w:val="o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  <w:t xml:space="preserve">Типовая форма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i/>
        </w:rPr>
      </w:pPr>
      <w:r>
        <w:rPr>
          <w:b/>
          <w:i/>
        </w:rPr>
        <w:t xml:space="preserve"> независимой гарантии обеспечения заявки участника закупочной процедуры</w:t>
      </w:r>
      <w:r>
        <w:rPr>
          <w:b/>
          <w:i/>
        </w:rPr>
      </w:r>
      <w:r>
        <w:rPr>
          <w:b/>
          <w:i/>
        </w:rPr>
      </w:r>
    </w:p>
    <w:p>
      <w:pPr>
        <w:ind w:firstLine="3420"/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rFonts w:eastAsia="Arial Unicode MS"/>
          <w:color w:val="000000"/>
        </w:rPr>
        <w:t xml:space="preserve"> </w:t>
      </w:r>
      <w:r>
        <w:rPr>
          <w:b/>
          <w:bCs/>
        </w:rPr>
        <w:t xml:space="preserve"> НЕЗАВИСИМАЯ ГАРАНТИЯ № ___</w:t>
      </w:r>
      <w:r>
        <w:rPr>
          <w:b/>
          <w:bCs/>
        </w:rPr>
        <w:t xml:space="preserve">___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widowControl w:val="off"/>
      </w:pPr>
      <w:r>
        <w:t xml:space="preserve">г. 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«___»__________20__ г.</w:t>
      </w:r>
      <w:r/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spacing w:after="0"/>
        <w:widowControl w:val="off"/>
        <w:rPr>
          <w:i/>
        </w:rPr>
      </w:pPr>
      <w:r>
        <w:rPr>
          <w:bCs/>
        </w:rPr>
        <w:t xml:space="preserve"> </w:t>
      </w:r>
      <w:r>
        <w:t xml:space="preserve">Мы информированы о том, что________________________ </w:t>
      </w:r>
      <w:r>
        <w:rPr>
          <w:i/>
        </w:rPr>
        <w:t xml:space="preserve">(</w:t>
      </w:r>
      <w:r>
        <w:rPr>
          <w:bCs/>
          <w:i/>
        </w:rPr>
        <w:t xml:space="preserve">наименование, ИНН</w:t>
      </w:r>
      <w:r>
        <w:rPr>
          <w:bCs/>
        </w:rPr>
        <w:t xml:space="preserve">), </w:t>
      </w:r>
      <w:r>
        <w:t xml:space="preserve">именуемое в дальнейшем «Принципал», намерен участвовать в закупке на ___________________________________ </w:t>
      </w:r>
      <w:r>
        <w:rPr>
          <w:i/>
        </w:rPr>
        <w:t xml:space="preserve">(предмет закупки)</w:t>
      </w:r>
      <w:r>
        <w:t xml:space="preserve">, пр</w:t>
      </w:r>
      <w:r>
        <w:t xml:space="preserve">оводимой </w:t>
      </w:r>
      <w:r>
        <w:rPr>
          <w:bCs/>
        </w:rPr>
        <w:t xml:space="preserve">_____________________ (</w:t>
      </w:r>
      <w:r>
        <w:rPr>
          <w:bCs/>
          <w:i/>
        </w:rPr>
        <w:t xml:space="preserve">наименование бенефициара,</w:t>
      </w:r>
      <w:r>
        <w:rPr>
          <w:i/>
        </w:rPr>
        <w:t xml:space="preserve"> ИНН)</w:t>
      </w:r>
      <w:r>
        <w:t xml:space="preserve">, именуемым в дальнейшем «Бенефициар»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ind w:firstLine="709"/>
        <w:spacing w:after="0"/>
        <w:widowControl w:val="off"/>
      </w:pPr>
      <w:r>
        <w:t xml:space="preserve">В соответствии с условиями Закупочной документации Принципал обязан предоставить Бенефициару финансовое обеспечение заявки Принципала на сумму в размере __</w:t>
      </w:r>
      <w:r>
        <w:t xml:space="preserve">_________________________</w:t>
      </w:r>
      <w:r>
        <w:rPr>
          <w:i/>
        </w:rPr>
        <w:t xml:space="preserve"> (сумма цифрами и прописью</w:t>
      </w:r>
      <w:r>
        <w:t xml:space="preserve">).</w:t>
      </w:r>
      <w:r/>
    </w:p>
    <w:p>
      <w:pPr>
        <w:ind w:firstLine="709"/>
        <w:spacing w:after="0"/>
        <w:widowControl w:val="off"/>
        <w:tabs>
          <w:tab w:val="left" w:pos="1080" w:leader="none"/>
          <w:tab w:val="left" w:pos="9180" w:leader="none"/>
        </w:tabs>
      </w:pPr>
      <w:r>
        <w:t xml:space="preserve">Учитывая вышеизложенное, по просьбе Принципала, мы, _________________________________ (</w:t>
      </w:r>
      <w:r>
        <w:rPr>
          <w:i/>
        </w:rPr>
        <w:t xml:space="preserve">реквизиты гаранта: наименование, ИНН, реквизиты лицензии на осуществлении банковских операций</w:t>
      </w:r>
      <w:r>
        <w:rPr>
          <w:bCs/>
          <w:i/>
        </w:rPr>
        <w:t xml:space="preserve">/иных документов, подтверждающих наличие у гаранта права на выдачу независимых гарантий</w:t>
      </w:r>
      <w:r>
        <w:rPr>
          <w:rStyle w:val="1420"/>
        </w:rPr>
        <w:footnoteReference w:id="25"/>
      </w:r>
      <w:r>
        <w:rPr>
          <w:rStyle w:val="1420"/>
        </w:rPr>
        <w:t xml:space="preserve">1</w:t>
      </w:r>
      <w:r>
        <w:t xml:space="preserve">), в лице </w:t>
      </w:r>
      <w:r>
        <w:rPr>
          <w:i/>
        </w:rPr>
        <w:t xml:space="preserve">_____________(Ф.И.О. уполномоченного действовать от имени гаранта лица</w:t>
      </w:r>
      <w:r>
        <w:t xml:space="preserve">), действующего на основании _____________ (</w:t>
      </w:r>
      <w:r>
        <w:rPr>
          <w:i/>
        </w:rPr>
        <w:t xml:space="preserve">реквизиты доверенности)</w:t>
      </w:r>
      <w:r>
        <w:t xml:space="preserve">, именуемый в дальне</w:t>
      </w:r>
      <w:r>
        <w:t xml:space="preserve">йшем «Гарант», настоящим принимаем на себя безотзывное и безусловное обязательство выплатить по первому письменному требованию Бенефициара любую сумму, не превышающую __________________ </w:t>
      </w:r>
      <w:r>
        <w:rPr>
          <w:i/>
        </w:rPr>
        <w:t xml:space="preserve">(сумма цифрами и прописью</w:t>
      </w:r>
      <w:r>
        <w:t xml:space="preserve">), в случае:</w:t>
      </w:r>
      <w:r/>
    </w:p>
    <w:p>
      <w:pPr>
        <w:pStyle w:val="1530"/>
        <w:numPr>
          <w:ilvl w:val="0"/>
          <w:numId w:val="93"/>
        </w:numPr>
        <w:ind w:left="0" w:firstLine="709"/>
        <w:jc w:val="both"/>
      </w:pPr>
      <w:r>
        <w:t xml:space="preserve"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</w:t>
      </w:r>
      <w:r>
        <w:t xml:space="preserve">ования обеспечения исполнения договора и срок его предоставления до заключения договора);</w:t>
      </w:r>
      <w:r/>
    </w:p>
    <w:p>
      <w:pPr>
        <w:pStyle w:val="1530"/>
        <w:numPr>
          <w:ilvl w:val="0"/>
          <w:numId w:val="93"/>
        </w:numPr>
        <w:ind w:left="0" w:firstLine="709"/>
        <w:jc w:val="both"/>
      </w:pPr>
      <w:r>
        <w:t xml:space="preserve">уклонения или отказа участника закупки от заключения договора</w:t>
      </w:r>
      <w:r/>
    </w:p>
    <w:p>
      <w:pPr>
        <w:ind w:firstLine="709"/>
        <w:spacing w:after="0"/>
        <w:widowControl w:val="off"/>
        <w:tabs>
          <w:tab w:val="left" w:pos="1080" w:leader="none"/>
        </w:tabs>
      </w:pPr>
      <w:r>
        <w:t xml:space="preserve">без споров и возражений с нашей стороны, не требуя от Бенефициара доказательств или обоснований требован</w:t>
      </w:r>
      <w:r>
        <w:t xml:space="preserve">ия на определенную в настоящей независимой гарантии сумму.</w:t>
      </w:r>
      <w:r/>
    </w:p>
    <w:p>
      <w:pPr>
        <w:ind w:firstLine="709"/>
        <w:spacing w:after="0"/>
        <w:widowControl w:val="off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eastAsia="Arial Unicode MS"/>
          <w:color w:val="000000"/>
        </w:rPr>
      </w:r>
      <w:r>
        <w:rPr>
          <w:rFonts w:eastAsia="Arial Unicode MS"/>
          <w:color w:val="000000"/>
        </w:rPr>
      </w:r>
    </w:p>
    <w:p>
      <w:pPr>
        <w:ind w:firstLine="709"/>
        <w:spacing w:after="0"/>
        <w:widowControl w:val="off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За неисполнение принятых обязательств по независимой гарантии Г</w:t>
      </w:r>
      <w:r>
        <w:rPr>
          <w:rFonts w:eastAsia="Arial Unicode MS"/>
          <w:color w:val="000000"/>
        </w:rPr>
        <w:t xml:space="preserve">арант несет ответственность, предусмотренную законодательством Российской Федерации.</w:t>
      </w:r>
      <w:r>
        <w:tab/>
      </w:r>
      <w:r>
        <w:rPr>
          <w:rFonts w:eastAsia="Arial Unicode MS"/>
          <w:color w:val="000000"/>
        </w:rPr>
      </w:r>
      <w:r>
        <w:rPr>
          <w:rFonts w:eastAsia="Arial Unicode MS"/>
          <w:color w:val="000000"/>
        </w:rPr>
      </w:r>
    </w:p>
    <w:p>
      <w:pPr>
        <w:ind w:firstLine="709"/>
        <w:spacing w:after="0"/>
        <w:widowControl w:val="off"/>
        <w:tabs>
          <w:tab w:val="left" w:pos="1080" w:leader="none"/>
        </w:tabs>
      </w:pPr>
      <w:r>
        <w:rPr>
          <w:bCs/>
        </w:rPr>
        <w:t xml:space="preserve">Настоящая независимая гарантия вступает в силу с _________20___года и действует по __________20___года (включительно). </w:t>
      </w:r>
      <w:r/>
    </w:p>
    <w:p>
      <w:pPr>
        <w:ind w:firstLine="709"/>
        <w:spacing w:after="0"/>
        <w:widowControl w:val="off"/>
      </w:pPr>
      <w:r>
        <w:rPr>
          <w:bCs/>
        </w:rPr>
        <w:t xml:space="preserve">Письменное требование платежа </w:t>
      </w:r>
      <w:r>
        <w:t xml:space="preserve">должно быть направле</w:t>
      </w:r>
      <w:r>
        <w:t xml:space="preserve">но </w:t>
      </w:r>
      <w:r>
        <w:rPr>
          <w:bCs/>
        </w:rPr>
        <w:t xml:space="preserve">Гаранту до 24 часов 00 минут «______» _________ (включительно) </w:t>
      </w:r>
      <w:r>
        <w:t xml:space="preserve">по адресу: </w:t>
      </w:r>
      <w:r>
        <w:rPr>
          <w:bCs/>
        </w:rPr>
        <w:t xml:space="preserve">__________________________</w:t>
      </w:r>
      <w:r>
        <w:t xml:space="preserve"> </w:t>
      </w:r>
      <w:r>
        <w:rPr>
          <w:bCs/>
        </w:rPr>
        <w:t xml:space="preserve">посредством почтовой связи либо передано нарочным непосредственно по адресу: _______________________.</w:t>
      </w:r>
      <w:r/>
    </w:p>
    <w:p>
      <w:pPr>
        <w:ind w:firstLine="709"/>
        <w:spacing w:after="0"/>
        <w:widowControl w:val="off"/>
        <w:rPr>
          <w:bCs/>
        </w:rPr>
      </w:pPr>
      <w:r>
        <w:rPr>
          <w:bCs/>
        </w:rPr>
        <w:t xml:space="preserve">Гарант по получении от Бенефициара письменного тре</w:t>
      </w:r>
      <w:r>
        <w:rPr>
          <w:bCs/>
        </w:rPr>
        <w:t xml:space="preserve">бования о выплате денежной суммы</w:t>
      </w:r>
      <w:r>
        <w:rPr>
          <w:rFonts w:eastAsia="Arial Unicode MS"/>
          <w:color w:val="000000"/>
        </w:rPr>
        <w:t xml:space="preserve"> по настоящей независимой гарантии</w:t>
      </w:r>
      <w:r>
        <w:rPr>
          <w:bCs/>
        </w:rPr>
        <w:t xml:space="preserve">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</w:t>
      </w:r>
      <w:r>
        <w:rPr>
          <w:bCs/>
        </w:rPr>
        <w:t xml:space="preserve">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bCs/>
        </w:rPr>
      </w:r>
      <w:r>
        <w:rPr>
          <w:bCs/>
        </w:rPr>
      </w:r>
    </w:p>
    <w:p>
      <w:pPr>
        <w:ind w:firstLine="709"/>
        <w:spacing w:after="0"/>
        <w:widowControl w:val="off"/>
      </w:pPr>
      <w:r>
        <w:rPr>
          <w:bCs/>
        </w:rPr>
        <w:t xml:space="preserve">Гарантия</w:t>
      </w:r>
      <w:r>
        <w:rPr>
          <w:bCs/>
        </w:rPr>
        <w:t xml:space="preserve"> не может быть отозвана Гарантом. Передача права требования по настоящей гарантии не допускается.</w:t>
      </w:r>
      <w:r>
        <w:t xml:space="preserve"> </w:t>
      </w:r>
      <w:r/>
    </w:p>
    <w:p>
      <w:pPr>
        <w:ind w:firstLine="709"/>
        <w:spacing w:after="0"/>
        <w:widowControl w:val="off"/>
        <w:rPr>
          <w:bCs/>
        </w:rPr>
      </w:pPr>
      <w:r>
        <w:rPr>
          <w:bCs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</w:t>
      </w:r>
      <w:r>
        <w:rPr>
          <w:bCs/>
        </w:rPr>
        <w:t xml:space="preserve">го документа - Изменения к независимой гарантии. </w:t>
      </w:r>
      <w:r>
        <w:rPr>
          <w:bCs/>
        </w:rPr>
      </w:r>
      <w:r>
        <w:rPr>
          <w:bCs/>
        </w:rPr>
      </w:r>
    </w:p>
    <w:p>
      <w:pPr>
        <w:ind w:firstLine="709"/>
        <w:spacing w:after="0"/>
        <w:widowControl w:val="off"/>
        <w:rPr>
          <w:rFonts w:eastAsia="Arial Unicode MS"/>
          <w:color w:val="000000"/>
        </w:rPr>
      </w:pPr>
      <w:r>
        <w:rPr>
          <w:bCs/>
        </w:rPr>
        <w:t xml:space="preserve">Письменное согласие Бенефициара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</w:t>
      </w:r>
      <w:r>
        <w:rPr>
          <w:bCs/>
        </w:rPr>
        <w:t xml:space="preserve">Гарантом, если иной момент вступления их в силу не определен в таких изменениях.</w:t>
      </w:r>
      <w:r>
        <w:rPr>
          <w:rFonts w:eastAsia="Arial Unicode MS"/>
          <w:color w:val="000000"/>
        </w:rPr>
      </w:r>
      <w:r>
        <w:rPr>
          <w:rFonts w:eastAsia="Arial Unicode MS"/>
          <w:color w:val="000000"/>
        </w:rPr>
      </w:r>
    </w:p>
    <w:p>
      <w:pPr>
        <w:ind w:firstLine="709"/>
        <w:spacing w:after="0"/>
        <w:widowControl w:val="off"/>
      </w:pPr>
      <w:r>
        <w:t xml:space="preserve"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</w:t>
      </w:r>
      <w:r>
        <w:t xml:space="preserve">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  <w:r/>
    </w:p>
    <w:p>
      <w:pPr>
        <w:ind w:firstLine="709"/>
        <w:spacing w:after="0"/>
        <w:widowControl w:val="off"/>
      </w:pPr>
      <w:r>
        <w:t xml:space="preserve">Действие настоящей независимой гарантии регулируется законодательством Российской Фе</w:t>
      </w:r>
      <w:r>
        <w:t xml:space="preserve">дерации. </w:t>
      </w:r>
      <w:r/>
    </w:p>
    <w:p>
      <w:pPr>
        <w:ind w:firstLine="709"/>
        <w:spacing w:after="0"/>
        <w:widowControl w:val="off"/>
      </w:pPr>
      <w: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</w:t>
      </w:r>
      <w:r>
        <w:rPr>
          <w:rFonts w:eastAsia="Calibri"/>
          <w:lang w:eastAsia="en-US"/>
        </w:rPr>
        <w:t xml:space="preserve">Арбитражном суде </w:t>
      </w:r>
      <w:r>
        <w:rPr>
          <w:rFonts w:eastAsia="Arial Unicode MS"/>
          <w:lang w:eastAsia="en-US"/>
        </w:rPr>
        <w:t xml:space="preserve">_________ </w:t>
      </w:r>
      <w:r>
        <w:rPr>
          <w:rFonts w:eastAsia="Calibri"/>
          <w:i/>
          <w:lang w:eastAsia="en-US"/>
        </w:rPr>
        <w:t xml:space="preserve">(указывается арбитражный суд по месту нахождения бенефициара)</w:t>
      </w:r>
      <w:r>
        <w:rPr>
          <w:rFonts w:eastAsia="Arial Unicode MS"/>
          <w:lang w:eastAsia="en-US"/>
        </w:rPr>
        <w:t xml:space="preserve">.</w:t>
      </w:r>
      <w:r/>
    </w:p>
    <w:p>
      <w:pPr>
        <w:spacing w:after="0"/>
        <w:widowControl w:val="off"/>
        <w:tabs>
          <w:tab w:val="left" w:pos="1080" w:leader="none"/>
        </w:tabs>
      </w:pPr>
      <w:r/>
      <w:r/>
    </w:p>
    <w:p>
      <w:pPr>
        <w:spacing w:after="0"/>
        <w:widowControl w:val="off"/>
        <w:tabs>
          <w:tab w:val="left" w:pos="1080" w:leader="none"/>
        </w:tabs>
        <w:rPr>
          <w:sz w:val="28"/>
          <w:szCs w:val="28"/>
        </w:rPr>
      </w:pPr>
      <w:r>
        <w:t xml:space="preserve">Подписи уполномочен</w:t>
      </w:r>
      <w:r>
        <w:t xml:space="preserve">ных лиц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0"/>
        <w:rPr>
          <w:sz w:val="28"/>
          <w:szCs w:val="28"/>
        </w:rPr>
      </w:pPr>
      <w:r>
        <w:rPr>
          <w:sz w:val="28"/>
          <w:szCs w:val="28"/>
        </w:rPr>
        <w:br w:type="page" w:clear="all"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  <w:lang w:eastAsia="en-US"/>
        </w:rPr>
        <w:t xml:space="preserve">Типовая форма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center"/>
        <w:spacing w:after="0"/>
        <w:widowControl w:val="off"/>
        <w:rPr>
          <w:rFonts w:eastAsia="Calibri"/>
          <w:b/>
          <w:bCs/>
          <w:i/>
        </w:rPr>
      </w:pPr>
      <w:r>
        <w:rPr>
          <w:rFonts w:eastAsia="Calibri"/>
          <w:b/>
          <w:bCs/>
          <w:i/>
          <w:lang w:eastAsia="en-US"/>
        </w:rPr>
        <w:t xml:space="preserve">независимой гарантии на исполнение обязательств</w:t>
      </w:r>
      <w:r>
        <w:rPr>
          <w:rFonts w:eastAsia="Calibri"/>
          <w:b/>
          <w:bCs/>
          <w:i/>
        </w:rPr>
      </w:r>
      <w:r>
        <w:rPr>
          <w:rFonts w:eastAsia="Calibri"/>
          <w:b/>
          <w:bCs/>
          <w:i/>
        </w:rPr>
      </w:r>
    </w:p>
    <w:p>
      <w:pPr>
        <w:ind w:left="4962"/>
        <w:spacing w:after="0"/>
        <w:widowControl w:val="off"/>
        <w:rPr>
          <w:rFonts w:eastAsia="Calibri"/>
          <w:b/>
        </w:rPr>
      </w:pPr>
      <w:r>
        <w:rPr>
          <w:rFonts w:eastAsia="Calibri"/>
          <w:b/>
          <w:lang w:eastAsia="en-US"/>
        </w:rPr>
        <w:t xml:space="preserve">    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  <w:lang w:eastAsia="en-US"/>
        </w:rPr>
        <w:t xml:space="preserve">НЕЗАВИСИМАЯ ГАРАНТИЯ № ______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left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spacing w:after="0"/>
        <w:widowControl w:val="off"/>
        <w:rPr>
          <w:rFonts w:eastAsia="Calibri"/>
        </w:rPr>
      </w:pPr>
      <w:r>
        <w:rPr>
          <w:rFonts w:eastAsia="Calibri"/>
          <w:lang w:eastAsia="en-US"/>
        </w:rPr>
        <w:t xml:space="preserve">г. ________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«___»___________20__ г.</w:t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Calibri"/>
          <w:bCs/>
          <w:lang w:eastAsia="en-US"/>
        </w:rPr>
        <w:t xml:space="preserve"> _____________________ (</w:t>
      </w:r>
      <w:r>
        <w:rPr>
          <w:rFonts w:eastAsia="Calibri"/>
          <w:bCs/>
          <w:i/>
          <w:lang w:eastAsia="en-US"/>
        </w:rPr>
        <w:t xml:space="preserve">наименование гаранта, ОГРН и/или ИНН; реквизиты лицензии на осуществление банковских операций/иных документов, подтверждающих наличие у гаранта права на выдачу независимых гарантий</w:t>
      </w:r>
      <w:r>
        <w:rPr>
          <w:rFonts w:eastAsia="Calibri"/>
          <w:bCs/>
          <w:i/>
          <w:vertAlign w:val="superscript"/>
          <w:lang w:eastAsia="en-US"/>
        </w:rPr>
        <w:footnoteReference w:id="26"/>
      </w:r>
      <w:r>
        <w:rPr>
          <w:rFonts w:eastAsia="Calibri"/>
          <w:bCs/>
          <w:i/>
          <w:vertAlign w:val="superscript"/>
          <w:lang w:eastAsia="en-US"/>
        </w:rPr>
        <w:t xml:space="preserve">1</w:t>
      </w:r>
      <w:r>
        <w:rPr>
          <w:rFonts w:eastAsia="Calibri"/>
          <w:bCs/>
          <w:i/>
          <w:lang w:eastAsia="en-US"/>
        </w:rPr>
        <w:t xml:space="preserve">),</w:t>
      </w:r>
      <w:r>
        <w:rPr>
          <w:rFonts w:eastAsia="Calibri"/>
          <w:bCs/>
          <w:lang w:eastAsia="en-US"/>
        </w:rPr>
        <w:t xml:space="preserve"> именуемое в дальнейшем «Гарант», в лице _______________________________</w:t>
      </w:r>
      <w:r>
        <w:rPr>
          <w:rFonts w:eastAsia="Calibri"/>
          <w:bCs/>
          <w:lang w:eastAsia="en-US"/>
        </w:rPr>
        <w:t xml:space="preserve">______ (</w:t>
      </w:r>
      <w:r>
        <w:rPr>
          <w:rFonts w:eastAsia="Calibri"/>
          <w:bCs/>
          <w:i/>
          <w:lang w:eastAsia="en-US"/>
        </w:rPr>
        <w:t xml:space="preserve">Ф.И.О. уполномоченного действовать от имени гаранта лица),</w:t>
      </w:r>
      <w:r>
        <w:rPr>
          <w:rFonts w:eastAsia="Calibri"/>
          <w:bCs/>
          <w:lang w:eastAsia="en-US"/>
        </w:rPr>
        <w:t xml:space="preserve"> действующего на основании ______________________________</w:t>
      </w:r>
      <w:r>
        <w:rPr>
          <w:rFonts w:eastAsia="Calibri"/>
          <w:bCs/>
          <w:i/>
          <w:lang w:eastAsia="en-US"/>
        </w:rPr>
        <w:t xml:space="preserve">(дата, номер доверенности), </w:t>
      </w:r>
      <w:r>
        <w:rPr>
          <w:rFonts w:eastAsia="Arial Unicode MS"/>
          <w:lang w:eastAsia="en-US"/>
        </w:rPr>
        <w:t xml:space="preserve">настоящим принимает на себя безусловное и безотзывное обязательство уплатить </w:t>
      </w:r>
      <w:r>
        <w:rPr>
          <w:rFonts w:eastAsia="Calibri"/>
          <w:bCs/>
          <w:lang w:eastAsia="en-US"/>
        </w:rPr>
        <w:t xml:space="preserve">_____________________ (</w:t>
      </w:r>
      <w:r>
        <w:rPr>
          <w:rFonts w:eastAsia="Calibri"/>
          <w:bCs/>
          <w:i/>
          <w:lang w:eastAsia="en-US"/>
        </w:rPr>
        <w:t xml:space="preserve">наиме</w:t>
      </w:r>
      <w:r>
        <w:rPr>
          <w:rFonts w:eastAsia="Calibri"/>
          <w:bCs/>
          <w:i/>
          <w:lang w:eastAsia="en-US"/>
        </w:rPr>
        <w:t xml:space="preserve">нование бенефициара, </w:t>
      </w:r>
      <w:r>
        <w:rPr>
          <w:rFonts w:eastAsia="Arial Unicode MS"/>
          <w:i/>
          <w:lang w:eastAsia="en-US"/>
        </w:rPr>
        <w:t xml:space="preserve">ОГРН </w:t>
      </w:r>
      <w:r>
        <w:rPr>
          <w:rFonts w:eastAsia="Calibri"/>
          <w:bCs/>
          <w:i/>
          <w:lang w:eastAsia="en-US"/>
        </w:rPr>
        <w:t xml:space="preserve">и/или</w:t>
      </w:r>
      <w:r>
        <w:rPr>
          <w:rFonts w:eastAsia="Arial Unicode MS"/>
          <w:i/>
          <w:lang w:eastAsia="en-US"/>
        </w:rPr>
        <w:t xml:space="preserve"> ИНН)</w:t>
      </w:r>
      <w:r>
        <w:rPr>
          <w:rFonts w:eastAsia="Arial Unicode MS"/>
          <w:lang w:eastAsia="en-US"/>
        </w:rPr>
        <w:t xml:space="preserve">, именуемому в дальнейшем - «Бенефициар», любую сумму или суммы, не превышающие в итоге __________________ </w:t>
      </w:r>
      <w:r>
        <w:rPr>
          <w:rFonts w:eastAsia="Arial Unicode MS"/>
          <w:i/>
          <w:lang w:eastAsia="en-US"/>
        </w:rPr>
        <w:t xml:space="preserve">(сумма цифрами и прописью),</w:t>
      </w:r>
      <w:r>
        <w:rPr>
          <w:rFonts w:eastAsia="Arial Unicode MS"/>
          <w:lang w:eastAsia="en-US"/>
        </w:rPr>
        <w:t xml:space="preserve"> по получении письменного требования Бенефициара, указывающего, что __________________</w:t>
      </w:r>
      <w:r>
        <w:rPr>
          <w:rFonts w:eastAsia="Arial Unicode MS"/>
          <w:lang w:eastAsia="en-US"/>
        </w:rPr>
        <w:t xml:space="preserve">_ </w:t>
      </w:r>
      <w:r>
        <w:rPr>
          <w:rFonts w:eastAsia="Arial Unicode MS"/>
          <w:i/>
          <w:lang w:eastAsia="en-US"/>
        </w:rPr>
        <w:t xml:space="preserve">(наименование, ИНН </w:t>
      </w:r>
      <w:r>
        <w:rPr>
          <w:rFonts w:eastAsia="Calibri"/>
          <w:bCs/>
          <w:i/>
          <w:lang w:eastAsia="en-US"/>
        </w:rPr>
        <w:t xml:space="preserve">и/или</w:t>
      </w:r>
      <w:r>
        <w:rPr>
          <w:rFonts w:eastAsia="Arial Unicode MS"/>
          <w:i/>
          <w:lang w:eastAsia="en-US"/>
        </w:rPr>
        <w:t xml:space="preserve"> ОГРН)</w:t>
      </w:r>
      <w:r>
        <w:rPr>
          <w:rFonts w:eastAsia="Arial Unicode MS"/>
          <w:lang w:eastAsia="en-US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>
        <w:rPr>
          <w:rFonts w:eastAsia="Arial Unicode MS"/>
          <w:i/>
          <w:lang w:eastAsia="en-US"/>
        </w:rPr>
        <w:t xml:space="preserve">по договору, который будет заключен по результатам определения поставщика (подрядчика, исполнит</w:t>
      </w:r>
      <w:r>
        <w:rPr>
          <w:rFonts w:eastAsia="Arial Unicode MS"/>
          <w:i/>
          <w:lang w:eastAsia="en-US"/>
        </w:rPr>
        <w:t xml:space="preserve">еля) (номер извещения в единой информационной системе в сфере закупок _______, протокол подведения итогов закупочной процедуры от ___ (указывается дата подписания либо более поздняя из дат указанная в протоколе) №___ )*,</w:t>
      </w:r>
      <w:r>
        <w:rPr>
          <w:rFonts w:eastAsia="Arial Unicode MS"/>
          <w:lang w:eastAsia="en-US"/>
        </w:rPr>
        <w:t xml:space="preserve"> без споров и возражений со стороны </w:t>
      </w:r>
      <w:r>
        <w:rPr>
          <w:rFonts w:eastAsia="Arial Unicode MS"/>
          <w:lang w:eastAsia="en-US"/>
        </w:rPr>
        <w:t xml:space="preserve">Гаранта,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*Примечание: 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- в случае заключения договора на основании решения (указать наименование закупочного органа бенефициара) текст</w:t>
      </w:r>
      <w:r>
        <w:rPr>
          <w:rFonts w:eastAsia="Arial Unicode MS"/>
          <w:i/>
          <w:lang w:eastAsia="en-US"/>
        </w:rPr>
        <w:t xml:space="preserve">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(выписка из протокола заседания (указать наименование закупочного органа бенефициара) от __</w:t>
      </w:r>
      <w:r>
        <w:rPr>
          <w:rFonts w:eastAsia="Arial Unicode MS"/>
          <w:i/>
          <w:lang w:eastAsia="en-US"/>
        </w:rPr>
        <w:br/>
        <w:t xml:space="preserve">№ ____)</w:t>
      </w:r>
      <w:r>
        <w:rPr>
          <w:rFonts w:eastAsia="Arial Unicode MS"/>
          <w:i/>
          <w:lang w:eastAsia="en-US"/>
        </w:rPr>
        <w:t xml:space="preserve">»;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Договору________ (указывается номер, дата договора), именуемый в дальнейшем «Догов</w:t>
      </w:r>
      <w:r>
        <w:rPr>
          <w:rFonts w:eastAsia="Arial Unicode MS"/>
          <w:i/>
          <w:lang w:eastAsia="en-US"/>
        </w:rPr>
        <w:t xml:space="preserve">ор».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За неисполнение принятых обязательств по независимой гарантии Гарант несет ответственность, предусмотренную законодат</w:t>
      </w:r>
      <w:r>
        <w:rPr>
          <w:rFonts w:eastAsia="Arial Unicode MS"/>
          <w:lang w:eastAsia="en-US"/>
        </w:rPr>
        <w:t xml:space="preserve">ельством Российской Федерации.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</w:t>
      </w:r>
      <w:r>
        <w:rPr>
          <w:rFonts w:eastAsia="Arial Unicode MS"/>
          <w:lang w:eastAsia="en-US"/>
        </w:rPr>
        <w:t xml:space="preserve">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</w:t>
      </w:r>
      <w:r>
        <w:rPr>
          <w:rFonts w:eastAsia="Arial Unicode MS"/>
          <w:lang w:eastAsia="en-US"/>
        </w:rPr>
        <w:t xml:space="preserve">ды, возникающие в связи с перечислением денежных средств, несет Гарант.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Настоящая гарантия вступает в силу с _________20___года ** и действует по ____</w:t>
      </w:r>
      <w:r>
        <w:rPr>
          <w:rFonts w:eastAsia="Arial Unicode MS"/>
          <w:lang w:eastAsia="en-US"/>
        </w:rPr>
        <w:t xml:space="preserve">_____20___года (включительно). 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Письменное требование платежа должно быть направлено Гаранту до 24 часов 00 минут «__» _________ по адресу: _________________________________ посредством почтовой связи либо передано непосредственно по адресу: ______________</w:t>
      </w:r>
      <w:r>
        <w:rPr>
          <w:rFonts w:eastAsia="Arial Unicode MS"/>
          <w:lang w:eastAsia="en-US"/>
        </w:rPr>
        <w:t xml:space="preserve">_________. 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**Примечание: в случае первоначального предоставления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</w:t>
      </w:r>
      <w:r>
        <w:rPr>
          <w:rFonts w:eastAsia="Arial Unicode MS"/>
          <w:i/>
          <w:lang w:eastAsia="en-US"/>
        </w:rPr>
        <w:t xml:space="preserve">, следующая за датой окончания предыдущей независимой гарантии.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9"/>
        <w:spacing w:after="0"/>
        <w:widowControl w:val="off"/>
        <w:rPr>
          <w:rFonts w:eastAsia="Calibri"/>
          <w:bCs/>
        </w:rPr>
      </w:pPr>
      <w:r>
        <w:rPr>
          <w:rFonts w:eastAsia="Calibri"/>
          <w:bCs/>
          <w:lang w:eastAsia="en-US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Calibri"/>
          <w:bCs/>
          <w:lang w:eastAsia="en-US"/>
        </w:rPr>
        <w:t xml:space="preserve">Письменное согласие Бенефициара на изменение соот</w:t>
      </w:r>
      <w:r>
        <w:rPr>
          <w:rFonts w:eastAsia="Calibri"/>
          <w:bCs/>
          <w:lang w:eastAsia="en-US"/>
        </w:rPr>
        <w:t xml:space="preserve">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Гарант передает св</w:t>
      </w:r>
      <w:r>
        <w:rPr>
          <w:rFonts w:eastAsia="Arial Unicode MS"/>
          <w:lang w:eastAsia="en-US"/>
        </w:rPr>
        <w:t xml:space="preserve">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</w:t>
      </w:r>
      <w:r>
        <w:rPr>
          <w:rFonts w:eastAsia="Arial Unicode MS"/>
          <w:lang w:eastAsia="en-US"/>
        </w:rPr>
        <w:t xml:space="preserve">ние, в соответствии с требованиями ч. 3.1 и ч. 4 ст. 5 указанного Закона.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Calibri"/>
        </w:rPr>
      </w:pPr>
      <w:r>
        <w:rPr>
          <w:rFonts w:eastAsia="Calibri"/>
          <w:lang w:eastAsia="en-US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Calibri"/>
          <w:lang w:eastAsia="en-US"/>
        </w:rPr>
        <w:t xml:space="preserve">Все споры, возникающие в связи с действительностью, толкованием или исполнением настояще</w:t>
      </w:r>
      <w:r>
        <w:rPr>
          <w:rFonts w:eastAsia="Calibri"/>
          <w:lang w:eastAsia="en-US"/>
        </w:rPr>
        <w:t xml:space="preserve">й независимой гарантии, подлежат рассмотрению в Арбитражном суде _________ (указывается арбитражный суд по месту нахождения бенефициара).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spacing w:after="0"/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lang w:eastAsia="en-US"/>
        </w:rPr>
        <w:t xml:space="preserve">Подписи</w:t>
      </w:r>
      <w:r>
        <w:rPr>
          <w:rFonts w:eastAsia="Calibri"/>
          <w:bCs/>
          <w:lang w:eastAsia="en-US"/>
        </w:rPr>
        <w:t xml:space="preserve"> </w:t>
      </w:r>
      <w:r>
        <w:rPr>
          <w:rFonts w:eastAsia="Calibri"/>
          <w:lang w:eastAsia="en-US"/>
        </w:rPr>
        <w:t xml:space="preserve">уполномоченных</w:t>
      </w:r>
      <w:r>
        <w:rPr>
          <w:rFonts w:eastAsia="Calibri"/>
          <w:bCs/>
          <w:lang w:eastAsia="en-US"/>
        </w:rPr>
        <w:t xml:space="preserve"> лиц</w:t>
      </w:r>
      <w:r>
        <w:rPr>
          <w:rFonts w:eastAsia="Calibri"/>
          <w:bCs/>
          <w:sz w:val="28"/>
          <w:szCs w:val="28"/>
          <w:lang w:eastAsia="en-US"/>
        </w:rPr>
      </w:r>
      <w:r>
        <w:rPr>
          <w:rFonts w:eastAsia="Calibri"/>
          <w:bCs/>
          <w:sz w:val="28"/>
          <w:szCs w:val="28"/>
          <w:lang w:eastAsia="en-US"/>
        </w:rPr>
      </w:r>
    </w:p>
    <w:p>
      <w:pPr>
        <w:jc w:val="left"/>
        <w:spacing w:after="160" w:line="259" w:lineRule="auto"/>
        <w:rPr>
          <w:b/>
          <w:bCs/>
          <w:vertAlign w:val="superscript"/>
        </w:rPr>
      </w:pPr>
      <w:r>
        <w:rPr>
          <w:b/>
          <w:bCs/>
          <w:vertAlign w:val="superscript"/>
        </w:rPr>
        <w:br w:type="page" w:clear="all"/>
      </w:r>
      <w:r>
        <w:rPr>
          <w:b/>
          <w:bCs/>
          <w:vertAlign w:val="superscript"/>
        </w:rPr>
      </w:r>
      <w:r>
        <w:rPr>
          <w:b/>
          <w:bCs/>
          <w:vertAlign w:val="superscript"/>
        </w:rPr>
      </w:r>
    </w:p>
    <w:p>
      <w:pPr>
        <w:jc w:val="left"/>
        <w:spacing w:after="0"/>
        <w:widowControl w:val="off"/>
        <w:rPr>
          <w:b/>
          <w:bCs/>
        </w:rPr>
      </w:pPr>
      <w:r>
        <w:rPr>
          <w:b/>
          <w:bCs/>
          <w:vertAlign w:val="superscript"/>
        </w:rPr>
        <w:footnoteReference w:id="27"/>
      </w:r>
      <w:r>
        <w:rPr>
          <w:b/>
          <w:bCs/>
          <w:vertAlign w:val="superscript"/>
        </w:rPr>
        <w:t xml:space="preserve">*****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Акт приема-передачи 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независимой(ых) гарантии(й)/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изменения №__ к независимой гарантии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left"/>
        <w:spacing w:after="24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г. Калининград                                                                                 «__» _____________202__ г.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bCs/>
          <w:i/>
          <w:u w:val="single"/>
          <w:lang w:eastAsia="en-US"/>
        </w:rPr>
        <w:t xml:space="preserve">Наименование контрагента</w:t>
      </w:r>
      <w:r>
        <w:rPr>
          <w:rFonts w:eastAsia="Calibri"/>
          <w:bCs/>
          <w:lang w:eastAsia="en-US"/>
        </w:rPr>
        <w:t xml:space="preserve">,</w:t>
      </w:r>
      <w:r>
        <w:rPr>
          <w:rFonts w:eastAsia="Calibri"/>
          <w:lang w:eastAsia="en-US"/>
        </w:rPr>
        <w:t xml:space="preserve"> именуемое в дальнейшем Поставщик/Исполнитель (указать в </w:t>
      </w:r>
      <w:r>
        <w:rPr>
          <w:rFonts w:eastAsia="Calibri"/>
          <w:lang w:eastAsia="en-US"/>
        </w:rPr>
        <w:t xml:space="preserve">соответствии с наименованием в договоре), в лице </w:t>
      </w:r>
      <w:r>
        <w:rPr>
          <w:rFonts w:eastAsia="Calibri"/>
          <w:i/>
          <w:u w:val="single"/>
          <w:lang w:eastAsia="en-US"/>
        </w:rPr>
        <w:t xml:space="preserve">наименование должности ФИО</w:t>
      </w:r>
      <w:r>
        <w:rPr>
          <w:rFonts w:eastAsia="Calibri"/>
          <w:lang w:eastAsia="en-US"/>
        </w:rPr>
        <w:t xml:space="preserve">, действующего на основании Устава/Доверенности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№___, с одной стороны, и Акционерное общество «Россети Янтарь» (АО «Россети Янтарь»), именуемое в дальнейшем Покупатель/Заказ</w:t>
      </w:r>
      <w:r>
        <w:rPr>
          <w:rFonts w:eastAsia="Calibri"/>
          <w:lang w:eastAsia="en-US"/>
        </w:rPr>
        <w:t xml:space="preserve">чик (указать в соответствии с наименованием в договоре), в лице </w:t>
      </w:r>
      <w:r>
        <w:rPr>
          <w:rFonts w:eastAsia="Calibri"/>
          <w:i/>
          <w:u w:val="single"/>
          <w:lang w:eastAsia="en-US"/>
        </w:rPr>
        <w:t xml:space="preserve">наименование должности ФИО</w:t>
      </w:r>
      <w:r>
        <w:rPr>
          <w:rFonts w:eastAsia="Calibri"/>
          <w:lang w:eastAsia="en-US"/>
        </w:rPr>
        <w:t xml:space="preserve">, действующего на основании доверенности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№___, с другой стороны, совместно здесь и далее именуемые «Стороны», заключили настоящий Акт приема-передачи независи</w:t>
      </w:r>
      <w:r>
        <w:rPr>
          <w:rFonts w:eastAsia="Calibri"/>
          <w:lang w:eastAsia="en-US"/>
        </w:rPr>
        <w:t xml:space="preserve">мой(ых) гарантии(й)/изменения №__ к независимой гарантии о нижеследующем: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Поставщик/Исполнитель </w:t>
      </w:r>
      <w:r>
        <w:rPr>
          <w:rFonts w:eastAsia="Calibri"/>
          <w:bCs/>
          <w:i/>
          <w:lang w:eastAsia="en-US"/>
        </w:rPr>
        <w:t xml:space="preserve">(выбрать)</w:t>
      </w:r>
      <w:r>
        <w:rPr>
          <w:rFonts w:eastAsia="Calibri"/>
          <w:lang w:eastAsia="en-US"/>
        </w:rPr>
        <w:t xml:space="preserve"> передает, а Покупатель/Заказчик </w:t>
      </w:r>
      <w:r>
        <w:rPr>
          <w:rFonts w:eastAsia="Calibri"/>
          <w:i/>
          <w:lang w:eastAsia="en-US"/>
        </w:rPr>
        <w:t xml:space="preserve">(выбрать)</w:t>
      </w:r>
      <w:r>
        <w:rPr>
          <w:rFonts w:eastAsia="Calibri"/>
          <w:lang w:eastAsia="en-US"/>
        </w:rPr>
        <w:t xml:space="preserve"> принимает на основании Договора №____ от ____ независимую(ые) гарантию(и)/изменение №__ к независимой гарантии со следующими параметрами: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Style w:val="1569"/>
        <w:tblW w:w="1071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559"/>
        <w:gridCol w:w="1530"/>
        <w:gridCol w:w="1134"/>
        <w:gridCol w:w="850"/>
        <w:gridCol w:w="1134"/>
        <w:gridCol w:w="1559"/>
        <w:gridCol w:w="1242"/>
      </w:tblGrid>
      <w:tr>
        <w:tblPrEx/>
        <w:trPr>
          <w:trHeight w:val="2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№ п/п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гарантии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изменения к гарантии (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данный блок добавляется только в случае приема-переда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чи изменения к гарантии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)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3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Наименование гаранта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Сумма гарантии, руб.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gridSpan w:val="2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Срок действия гарантии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Вид гарантии 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(возврат аванса/ исполнение обязательств по договору/ гарантийные обязательства и т.д.) 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выбрать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2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договора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185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135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530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Дата начала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Дата окончания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242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</w:tbl>
    <w:p>
      <w:pPr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Датой передачи независимой(ых) гарантии(й)/изменения №__ к независимой гарантии является дата подписания настоящего Акта приема-передачи независимой(ых) гарантии(й)/изменения №__ к независимой гарантии.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Настоящий Акт приема-передачи составлен в двух подлинных экземплярах, имеющих одинаковую юридическую силу, по одному для каждой из сторон.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Style w:val="1569"/>
        <w:tblW w:w="1006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5387"/>
        <w:gridCol w:w="4673"/>
      </w:tblGrid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Поставщик/Исполнитель</w:t>
            </w:r>
            <w:r>
              <w:rPr>
                <w:rFonts w:eastAsia="Calibri"/>
                <w:bCs/>
                <w:lang w:eastAsia="en-US"/>
              </w:rPr>
              <w:t xml:space="preserve"> (</w:t>
            </w:r>
            <w:r>
              <w:rPr>
                <w:rFonts w:eastAsia="Calibri"/>
                <w:bCs/>
                <w:i/>
                <w:lang w:eastAsia="en-US"/>
              </w:rPr>
              <w:t xml:space="preserve">выбрать</w:t>
            </w:r>
            <w:r>
              <w:rPr>
                <w:rFonts w:eastAsia="Calibri"/>
                <w:bCs/>
                <w:lang w:eastAsia="en-US"/>
              </w:rPr>
              <w:t xml:space="preserve">):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Поставщика/Исполнителя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Покупатель/Заказчик </w:t>
            </w:r>
            <w:r>
              <w:rPr>
                <w:rFonts w:eastAsia="Calibri"/>
                <w:bCs/>
                <w:lang w:eastAsia="en-US"/>
              </w:rPr>
              <w:t xml:space="preserve">(</w:t>
            </w:r>
            <w:r>
              <w:rPr>
                <w:rFonts w:eastAsia="Calibri"/>
                <w:bCs/>
                <w:i/>
                <w:lang w:eastAsia="en-US"/>
              </w:rPr>
              <w:t xml:space="preserve">выбрать</w:t>
            </w:r>
            <w:r>
              <w:rPr>
                <w:rFonts w:eastAsia="Calibri"/>
                <w:bCs/>
                <w:lang w:eastAsia="en-US"/>
              </w:rPr>
              <w:t xml:space="preserve">):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АО «Россети Янтарь»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</w:tc>
      </w:tr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</w:tr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должности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должности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</w:tr>
      <w:tr>
        <w:tblPrEx/>
        <w:trPr>
          <w:trHeight w:val="655"/>
        </w:trPr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___________________              ФИО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</w:t>
            </w:r>
            <w:r>
              <w:rPr>
                <w:rFonts w:eastAsia="Calibri"/>
                <w:bCs/>
                <w:i/>
                <w:lang w:eastAsia="en-US"/>
              </w:rPr>
              <w:t xml:space="preserve">подпись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___________________              ФИО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</w:t>
            </w:r>
            <w:r>
              <w:rPr>
                <w:rFonts w:eastAsia="Calibri"/>
                <w:bCs/>
                <w:i/>
                <w:lang w:eastAsia="en-US"/>
              </w:rPr>
              <w:t xml:space="preserve">подпись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</w:tr>
    </w:tbl>
    <w:p>
      <w:pPr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МП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  МП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/>
      </w:pPr>
      <w:r>
        <w:separator/>
      </w:r>
      <w:r/>
    </w:p>
  </w:endnote>
  <w:endnote w:type="continuationSeparator" w:id="0">
    <w:p>
      <w:pPr>
        <w:spacing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Arial (WT)">
    <w:panose1 w:val="020B0604020202020204"/>
  </w:font>
  <w:font w:name="Wingdings">
    <w:panose1 w:val="05010000000000000000"/>
  </w:font>
  <w:font w:name="Symbol">
    <w:panose1 w:val="05010000000000000000"/>
  </w:font>
  <w:font w:name="Proxima Nova ExCn Rg">
    <w:panose1 w:val="02000603000000000000"/>
  </w:font>
  <w:font w:name="MS Mincho">
    <w:panose1 w:val="02070609020205090404"/>
  </w:font>
  <w:font w:name="Courier New">
    <w:panose1 w:val="02070309020205020404"/>
  </w:font>
  <w:font w:name="Cambria">
    <w:panose1 w:val="020405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24"/>
      <w:rPr>
        <w:rStyle w:val="1423"/>
      </w:rPr>
      <w:framePr w:wrap="auto" w:vAnchor="text" w:hAnchor="margin" w:xAlign="right" w:y="1"/>
    </w:pPr>
    <w:r>
      <w:rPr>
        <w:rStyle w:val="1423"/>
      </w:rPr>
      <w:fldChar w:fldCharType="begin"/>
    </w:r>
    <w:r>
      <w:rPr>
        <w:rStyle w:val="1423"/>
      </w:rPr>
      <w:instrText xml:space="preserve">PAGE  </w:instrText>
    </w:r>
    <w:r>
      <w:rPr>
        <w:rStyle w:val="1423"/>
      </w:rPr>
      <w:fldChar w:fldCharType="separate"/>
    </w:r>
    <w:r>
      <w:rPr>
        <w:rStyle w:val="1423"/>
      </w:rPr>
      <w:t xml:space="preserve">12</w:t>
    </w:r>
    <w:r>
      <w:rPr>
        <w:rStyle w:val="1423"/>
      </w:rPr>
      <w:fldChar w:fldCharType="end"/>
    </w:r>
    <w:r>
      <w:rPr>
        <w:rStyle w:val="1423"/>
      </w:rPr>
    </w:r>
    <w:r>
      <w:rPr>
        <w:rStyle w:val="1423"/>
      </w:rPr>
    </w:r>
  </w:p>
  <w:p>
    <w:pPr>
      <w:pStyle w:val="1424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24"/>
      <w:jc w:val="right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142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  <w:footnote w:id="2">
    <w:p>
      <w:pPr>
        <w:pStyle w:val="1421"/>
        <w:spacing w:after="0"/>
      </w:pPr>
      <w:r>
        <w:rPr>
          <w:rStyle w:val="1576"/>
          <w:sz w:val="28"/>
          <w:szCs w:val="28"/>
          <w:vertAlign w:val="superscript"/>
        </w:rPr>
        <w:t xml:space="preserve">1</w:t>
      </w:r>
      <w:r>
        <w:rPr>
          <w:rStyle w:val="1577"/>
        </w:rPr>
        <w:t xml:space="preserve"> Данные о наличии лицензии могут быть проверены на официальном сайте Банка России по адресу </w:t>
      </w:r>
      <w:hyperlink r:id="rId1" w:tooltip="http://www.cbr.ru/credit/." w:history="1">
        <w:r>
          <w:rPr>
            <w:rStyle w:val="1437"/>
          </w:rPr>
          <w:t xml:space="preserve">http://www.cbr.ru/credit/.</w:t>
        </w:r>
      </w:hyperlink>
      <w:r>
        <w:rPr>
          <w:rStyle w:val="1577"/>
        </w:rPr>
        <w:t xml:space="preserve"> </w:t>
      </w:r>
      <w:r/>
    </w:p>
  </w:footnote>
  <w:footnote w:id="3">
    <w:p>
      <w:pPr>
        <w:pStyle w:val="1421"/>
        <w:spacing w:after="0"/>
      </w:pPr>
      <w:r>
        <w:rPr>
          <w:rStyle w:val="1576"/>
          <w:sz w:val="28"/>
          <w:szCs w:val="28"/>
          <w:vertAlign w:val="superscript"/>
        </w:rPr>
        <w:t xml:space="preserve">2</w:t>
      </w:r>
      <w:r>
        <w:rPr>
          <w:rStyle w:val="1577"/>
        </w:rPr>
        <w:t xml:space="preserve"> В частности, запрет или ограничение на прием вкладов от физ</w:t>
      </w:r>
      <w:r>
        <w:rPr>
          <w:rStyle w:val="1577"/>
        </w:rPr>
        <w:t xml:space="preserve">ических лиц, если такая информация опубликована в официальных источниках и/или на официальном сайте Банка России по адресу </w:t>
      </w:r>
      <w:hyperlink r:id="rId2" w:tooltip="https://www.cbr.ru/analytics/strform/." w:history="1">
        <w:r>
          <w:rPr>
            <w:rStyle w:val="1437"/>
          </w:rPr>
          <w:t xml:space="preserve">https://www.cbr.ru/analytics/strfo</w:t>
        </w:r>
        <w:r>
          <w:rPr>
            <w:rStyle w:val="1437"/>
          </w:rPr>
          <w:t xml:space="preserve">rm/.</w:t>
        </w:r>
      </w:hyperlink>
      <w:r>
        <w:rPr>
          <w:rStyle w:val="1577"/>
        </w:rPr>
        <w:t xml:space="preserve"> </w:t>
      </w:r>
      <w:r/>
    </w:p>
  </w:footnote>
  <w:footnote w:id="4">
    <w:p>
      <w:pPr>
        <w:spacing w:after="0"/>
        <w:rPr>
          <w:sz w:val="20"/>
          <w:szCs w:val="20"/>
        </w:rPr>
        <w:outlineLvl w:val="0"/>
      </w:pPr>
      <w:r>
        <w:rPr>
          <w:sz w:val="28"/>
          <w:szCs w:val="28"/>
          <w:vertAlign w:val="superscript"/>
        </w:rPr>
        <w:t xml:space="preserve">3</w:t>
      </w:r>
      <w:r>
        <w:t xml:space="preserve"> </w:t>
      </w:r>
      <w:r>
        <w:rPr>
          <w:sz w:val="20"/>
          <w:szCs w:val="20"/>
        </w:rPr>
        <w:t xml:space="preserve"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421"/>
        <w:spacing w:after="0"/>
      </w:pPr>
      <w:r>
        <w:t xml:space="preserve">Данн</w:t>
      </w:r>
      <w:r>
        <w:t xml:space="preserve">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3" w:tooltip="http://www.asv.org.ru/guide/bank/" w:history="1">
        <w:r>
          <w:rPr>
            <w:rStyle w:val="1437"/>
          </w:rPr>
          <w:t xml:space="preserve">ht</w:t>
        </w:r>
        <w:r>
          <w:rPr>
            <w:rStyle w:val="1437"/>
          </w:rPr>
          <w:t xml:space="preserve">tp://www.asv.org.ru/guide/bank/</w:t>
        </w:r>
      </w:hyperlink>
      <w:r>
        <w:t xml:space="preserve"> или Банка России по адресу </w:t>
      </w:r>
      <w:hyperlink r:id="rId4" w:tooltip="http://www.cbr.ru/credit/." w:history="1">
        <w:r>
          <w:rPr>
            <w:rStyle w:val="1437"/>
          </w:rPr>
          <w:t xml:space="preserve">http://www.cbr.ru/credit/.</w:t>
        </w:r>
      </w:hyperlink>
      <w:r>
        <w:t xml:space="preserve"> </w:t>
      </w:r>
      <w:r/>
    </w:p>
  </w:footnote>
  <w:footnote w:id="5">
    <w:p>
      <w:pPr>
        <w:pStyle w:val="1421"/>
        <w:spacing w:after="0"/>
      </w:pPr>
      <w:r>
        <w:rPr>
          <w:u w:val="single"/>
          <w:vertAlign w:val="superscript"/>
        </w:rPr>
        <w:t xml:space="preserve">4</w:t>
      </w:r>
      <w:r>
        <w:t xml:space="preserve"> Указанные критерии не применяется в отношении независимых гарантий, предоставляемых по результатам конкурентной закупки с участием субъектов малого и среднего предпринимательства (в соответствии с абз. 2 п. 3.8.1 Порядка).</w:t>
      </w:r>
      <w:r/>
    </w:p>
  </w:footnote>
  <w:footnote w:id="6">
    <w:p>
      <w:pPr>
        <w:pStyle w:val="1421"/>
        <w:spacing w:after="0"/>
      </w:pPr>
      <w:r>
        <w:rPr>
          <w:rStyle w:val="1420"/>
        </w:rPr>
        <w:t xml:space="preserve">5</w:t>
      </w:r>
      <w:r>
        <w:t xml:space="preserve"> Для банков с долей Российской </w:t>
      </w:r>
      <w:r>
        <w:t xml:space="preserve">Федерации либо Банка России в уставном капитале более 50% (за исключением удовлетворяющих требованиям п. 3.8.3 настоящего Порядка), а также банков, в отношении которых Банком России принято решение о гарантировании непрерывности деятельности, ограничения п</w:t>
      </w:r>
      <w:r>
        <w:t xml:space="preserve">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применяются.</w:t>
      </w:r>
      <w:r/>
    </w:p>
  </w:footnote>
  <w:footnote w:id="7">
    <w:p>
      <w:pPr>
        <w:pStyle w:val="1421"/>
        <w:spacing w:after="0"/>
      </w:pPr>
      <w:r>
        <w:rPr>
          <w:rStyle w:val="1420"/>
        </w:rPr>
        <w:t xml:space="preserve">6</w:t>
      </w:r>
      <w:r>
        <w:t xml:space="preserve"> Собственный капитал банка для целей настоящего Распоряжения принимаются в с</w:t>
      </w:r>
      <w:r>
        <w:t xml:space="preserve">оответствии с данными отчетности банка, в том числе, публикуемыми на официальном сайте Банка России по адресу </w:t>
      </w:r>
      <w:hyperlink r:id="rId5" w:tooltip="http://www.cbr.ru/credit/" w:history="1">
        <w:r>
          <w:rPr>
            <w:rStyle w:val="1437"/>
          </w:rPr>
          <w:t xml:space="preserve">http://www.cbr.ru/credit/</w:t>
        </w:r>
      </w:hyperlink>
      <w:r>
        <w:t xml:space="preserve"> по состоянию на дату, ближайшую к отчетной.</w:t>
      </w:r>
      <w:r/>
    </w:p>
  </w:footnote>
  <w:footnote w:id="8">
    <w:p>
      <w:pPr>
        <w:pStyle w:val="1421"/>
      </w:pPr>
      <w:r>
        <w:rPr>
          <w:rStyle w:val="1576"/>
          <w:vertAlign w:val="superscript"/>
        </w:rPr>
        <w:t xml:space="preserve">8</w:t>
      </w:r>
      <w:r>
        <w:rPr>
          <w:rStyle w:val="1577"/>
        </w:rPr>
        <w:t xml:space="preserve"> В</w:t>
      </w:r>
      <w:r>
        <w:rPr>
          <w:rStyle w:val="1577"/>
        </w:rPr>
        <w:t xml:space="preserve">ключенными в реестр кредитных рейтинговых агентств Центрального банка России. Размещен на сайте ЦБ РФ. </w:t>
      </w:r>
      <w:r>
        <w:rPr>
          <w:rStyle w:val="1578"/>
        </w:rPr>
        <w:t xml:space="preserve">https://cbr.ru.</w:t>
      </w:r>
      <w:r/>
    </w:p>
  </w:footnote>
  <w:footnote w:id="9">
    <w:p>
      <w:pPr>
        <w:pStyle w:val="1421"/>
      </w:pPr>
      <w:r>
        <w:rPr>
          <w:rStyle w:val="1576"/>
          <w:vertAlign w:val="superscript"/>
        </w:rPr>
        <w:t xml:space="preserve">9</w:t>
      </w:r>
      <w:r>
        <w:rPr>
          <w:rStyle w:val="1577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  <w:r/>
    </w:p>
  </w:footnote>
  <w:footnote w:id="10">
    <w:p>
      <w:pPr>
        <w:pStyle w:val="1421"/>
        <w:spacing w:after="0"/>
      </w:pPr>
      <w:r>
        <w:rPr>
          <w:rStyle w:val="1576"/>
          <w:sz w:val="28"/>
          <w:szCs w:val="28"/>
          <w:vertAlign w:val="superscript"/>
        </w:rPr>
        <w:t xml:space="preserve">1</w:t>
      </w:r>
      <w:r>
        <w:rPr>
          <w:rStyle w:val="1577"/>
        </w:rPr>
        <w:t xml:space="preserve"> Данные о</w:t>
      </w:r>
      <w:r>
        <w:rPr>
          <w:rStyle w:val="1577"/>
        </w:rPr>
        <w:t xml:space="preserve"> наличии лицензии могут быть проверены на официальном сайте Банка России по адресу </w:t>
      </w:r>
      <w:hyperlink r:id="rId6" w:tooltip="http://www.cbr.ru/credit/." w:history="1">
        <w:r>
          <w:rPr>
            <w:rStyle w:val="1437"/>
          </w:rPr>
          <w:t xml:space="preserve">http://www.cbr.ru/credit/.</w:t>
        </w:r>
      </w:hyperlink>
      <w:r>
        <w:rPr>
          <w:rStyle w:val="1577"/>
        </w:rPr>
        <w:t xml:space="preserve"> </w:t>
      </w:r>
      <w:r/>
    </w:p>
  </w:footnote>
  <w:footnote w:id="11">
    <w:p>
      <w:pPr>
        <w:pStyle w:val="1421"/>
        <w:spacing w:after="0"/>
      </w:pPr>
      <w:r>
        <w:rPr>
          <w:rStyle w:val="1576"/>
          <w:sz w:val="28"/>
          <w:szCs w:val="28"/>
          <w:vertAlign w:val="superscript"/>
        </w:rPr>
        <w:t xml:space="preserve">2</w:t>
      </w:r>
      <w:r>
        <w:rPr>
          <w:rStyle w:val="1577"/>
        </w:rPr>
        <w:t xml:space="preserve"> В частности, запрет или ограничение на прием вкладов от физических л</w:t>
      </w:r>
      <w:r>
        <w:rPr>
          <w:rStyle w:val="1577"/>
        </w:rPr>
        <w:t xml:space="preserve">иц, если такая информация опубликована в официальных источниках и/или на официальном сайте Банка России по адресу </w:t>
      </w:r>
      <w:hyperlink r:id="rId7" w:tooltip="https://www.cbr.ru/analytics/strform/." w:history="1">
        <w:r>
          <w:rPr>
            <w:rStyle w:val="1437"/>
          </w:rPr>
          <w:t xml:space="preserve">https://www.cbr.ru/analytics/strform/.</w:t>
        </w:r>
      </w:hyperlink>
      <w:r>
        <w:rPr>
          <w:rStyle w:val="1577"/>
        </w:rPr>
        <w:t xml:space="preserve"> </w:t>
      </w:r>
      <w:r/>
    </w:p>
  </w:footnote>
  <w:footnote w:id="12">
    <w:p>
      <w:pPr>
        <w:spacing w:after="0"/>
        <w:rPr>
          <w:sz w:val="20"/>
          <w:szCs w:val="20"/>
        </w:rPr>
        <w:outlineLvl w:val="0"/>
      </w:pPr>
      <w:r>
        <w:rPr>
          <w:sz w:val="28"/>
          <w:szCs w:val="28"/>
          <w:vertAlign w:val="superscript"/>
        </w:rPr>
        <w:t xml:space="preserve">3</w:t>
      </w:r>
      <w:r>
        <w:t xml:space="preserve"> </w:t>
      </w:r>
      <w:r>
        <w:rPr>
          <w:sz w:val="20"/>
          <w:szCs w:val="20"/>
        </w:rPr>
        <w:t xml:space="preserve">С</w:t>
      </w:r>
      <w:r>
        <w:rPr>
          <w:sz w:val="20"/>
          <w:szCs w:val="20"/>
        </w:rPr>
        <w:t xml:space="preserve">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421"/>
        <w:spacing w:after="0"/>
      </w:pPr>
      <w:r>
        <w:t xml:space="preserve">Данные об уча</w:t>
      </w:r>
      <w:r>
        <w:t xml:space="preserve">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8" w:tooltip="http://www.asv.org.ru/guide/bank/" w:history="1">
        <w:r>
          <w:rPr>
            <w:rStyle w:val="1437"/>
          </w:rPr>
          <w:t xml:space="preserve">http://www.</w:t>
        </w:r>
        <w:r>
          <w:rPr>
            <w:rStyle w:val="1437"/>
          </w:rPr>
          <w:t xml:space="preserve">asv.org.ru/guide/bank/</w:t>
        </w:r>
      </w:hyperlink>
      <w:r>
        <w:t xml:space="preserve"> или Банка России по адресу </w:t>
      </w:r>
      <w:hyperlink r:id="rId9" w:tooltip="http://www.cbr.ru/credit/." w:history="1">
        <w:r>
          <w:rPr>
            <w:rStyle w:val="1437"/>
          </w:rPr>
          <w:t xml:space="preserve">http://www.cbr.ru/credit/.</w:t>
        </w:r>
      </w:hyperlink>
      <w:r>
        <w:t xml:space="preserve"> </w:t>
      </w:r>
      <w:r/>
    </w:p>
  </w:footnote>
  <w:footnote w:id="13">
    <w:p>
      <w:pPr>
        <w:pStyle w:val="1421"/>
        <w:spacing w:after="0"/>
      </w:pPr>
      <w:r>
        <w:rPr>
          <w:u w:val="single"/>
          <w:vertAlign w:val="superscript"/>
        </w:rPr>
        <w:t xml:space="preserve">4</w:t>
      </w:r>
      <w:r>
        <w:t xml:space="preserve"> Указанные критерии не применяется в отношении независимых гарантий, предоставляемых по результатам ко</w:t>
      </w:r>
      <w:r>
        <w:t xml:space="preserve">нкурентной закупки с участием субъектов малого и среднего предпринимательства (в соответствии с абз. 2 п. 3.8.1 Порядка).</w:t>
      </w:r>
      <w:r/>
    </w:p>
  </w:footnote>
  <w:footnote w:id="14">
    <w:p>
      <w:pPr>
        <w:pStyle w:val="1421"/>
        <w:spacing w:after="0"/>
      </w:pPr>
      <w:r>
        <w:rPr>
          <w:rStyle w:val="1420"/>
        </w:rPr>
        <w:t xml:space="preserve">5</w:t>
      </w:r>
      <w:r>
        <w:t xml:space="preserve"> Для банков с долей Российской Федерации либо Банка России в уставном капитале более 50% (за исключением удовлетворяющих требованиям </w:t>
      </w:r>
      <w:r>
        <w:t xml:space="preserve">п. 3.8.3 настоящего Порядка), а также банков, в отношении которых Банком России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</w:t>
      </w:r>
      <w:r>
        <w:t xml:space="preserve">ебованиям ст. 2 Федерального закона от 21.07.2014 № 213-ФЗ - не применяются.</w:t>
      </w:r>
      <w:r/>
    </w:p>
  </w:footnote>
  <w:footnote w:id="15">
    <w:p>
      <w:pPr>
        <w:pStyle w:val="1421"/>
        <w:spacing w:after="0"/>
      </w:pPr>
      <w:r>
        <w:rPr>
          <w:rStyle w:val="1420"/>
        </w:rPr>
        <w:t xml:space="preserve">6</w:t>
      </w:r>
      <w:r>
        <w:t xml:space="preserve"> Собственный капитал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России по</w:t>
      </w:r>
      <w:r>
        <w:t xml:space="preserve"> адресу </w:t>
      </w:r>
      <w:hyperlink r:id="rId10" w:tooltip="http://www.cbr.ru/credit/" w:history="1">
        <w:r>
          <w:rPr>
            <w:rStyle w:val="1437"/>
          </w:rPr>
          <w:t xml:space="preserve">http://www.cbr.ru/credit/</w:t>
        </w:r>
      </w:hyperlink>
      <w:r>
        <w:t xml:space="preserve"> по состоянию на дату, ближайшую к отчетной.</w:t>
      </w:r>
      <w:r/>
    </w:p>
  </w:footnote>
  <w:footnote w:id="16">
    <w:p>
      <w:pPr>
        <w:pStyle w:val="1421"/>
        <w:spacing w:after="0"/>
      </w:pPr>
      <w:r>
        <w:rPr>
          <w:rStyle w:val="1576"/>
          <w:vertAlign w:val="superscript"/>
        </w:rPr>
        <w:t xml:space="preserve">8</w:t>
      </w:r>
      <w:r>
        <w:rPr>
          <w:rStyle w:val="1577"/>
        </w:rPr>
        <w:t xml:space="preserve"> Включенными в реестр кредитных рейтинговых агентств Центрального банка России. Размещен на сайте ЦБ РФ. </w:t>
      </w:r>
      <w:r>
        <w:rPr>
          <w:rStyle w:val="1578"/>
        </w:rPr>
        <w:t xml:space="preserve">https://cbr.ru.</w:t>
      </w:r>
      <w:r/>
    </w:p>
  </w:footnote>
  <w:footnote w:id="17">
    <w:p>
      <w:pPr>
        <w:pStyle w:val="1421"/>
        <w:spacing w:after="0"/>
      </w:pPr>
      <w:r>
        <w:rPr>
          <w:rStyle w:val="1576"/>
          <w:vertAlign w:val="superscript"/>
        </w:rPr>
        <w:t xml:space="preserve">9</w:t>
      </w:r>
      <w:r>
        <w:rPr>
          <w:rStyle w:val="1577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  <w:r/>
    </w:p>
  </w:footnote>
  <w:footnote w:id="18">
    <w:p>
      <w:pPr>
        <w:pStyle w:val="1421"/>
      </w:pPr>
      <w:r>
        <w:rPr>
          <w:rStyle w:val="1420"/>
        </w:rPr>
        <w:footnoteRef/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лицом, а также в случае, если участнику процедуры закупки требуется получение указанного решения. 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ВНИМАНИЕ! В последнем случае копия такого решения предоставляется при заключ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ении договора</w:t>
      </w:r>
      <w:r>
        <w:rPr>
          <w:rFonts w:eastAsiaTheme="minorHAnsi"/>
          <w:lang w:eastAsia="en-US"/>
        </w:rPr>
        <w:t xml:space="preserve">.</w:t>
      </w:r>
      <w:r/>
    </w:p>
  </w:footnote>
  <w:footnote w:id="19">
    <w:p>
      <w:pPr>
        <w:pStyle w:val="1421"/>
      </w:pPr>
      <w:r>
        <w:rPr>
          <w:rStyle w:val="1420"/>
        </w:rPr>
        <w:footnoteRef/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лицом, а также в случае, если участнику процедуры закупки требуется получение указанного решения. 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ВНИМАНИЕ! В последнем случае копия такого решения предоставл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яется при заключении договора</w:t>
      </w:r>
      <w:r>
        <w:rPr>
          <w:rFonts w:eastAsiaTheme="minorHAnsi"/>
          <w:lang w:eastAsia="en-US"/>
        </w:rPr>
        <w:t xml:space="preserve">.</w:t>
      </w:r>
      <w:r/>
    </w:p>
  </w:footnote>
  <w:footnote w:id="20">
    <w:p>
      <w:pPr>
        <w:pStyle w:val="1421"/>
      </w:pPr>
      <w:r>
        <w:rPr>
          <w:rStyle w:val="1420"/>
        </w:rPr>
        <w:footnoteRef/>
      </w:r>
      <w:r>
        <w:t xml:space="preserve"> </w:t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лицом.</w:t>
      </w:r>
      <w:r/>
    </w:p>
  </w:footnote>
  <w:footnote w:id="21">
    <w:p>
      <w:pPr>
        <w:pStyle w:val="1421"/>
        <w:spacing w:after="0"/>
      </w:pPr>
      <w:r>
        <w:rPr>
          <w:rStyle w:val="1420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22">
    <w:p>
      <w:pPr>
        <w:pStyle w:val="1421"/>
        <w:spacing w:after="0"/>
      </w:pPr>
      <w:r>
        <w:rPr>
          <w:rStyle w:val="1420"/>
        </w:rPr>
        <w:footnoteRef/>
      </w:r>
      <w:r>
        <w:t xml:space="preserve"> В соответствии со ст. 102 НК РФ – данная информац</w:t>
      </w:r>
      <w:r>
        <w:t xml:space="preserve">ия не является налоговой тайной</w:t>
      </w:r>
      <w:r/>
    </w:p>
  </w:footnote>
  <w:footnote w:id="23">
    <w:p>
      <w:pPr>
        <w:pStyle w:val="1421"/>
        <w:spacing w:after="0"/>
      </w:pPr>
      <w:r>
        <w:rPr>
          <w:rStyle w:val="1420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24">
    <w:p>
      <w:pPr>
        <w:pStyle w:val="1421"/>
      </w:pPr>
      <w:r>
        <w:rPr>
          <w:rStyle w:val="1420"/>
        </w:rPr>
        <w:footnoteRef/>
      </w:r>
      <w:r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</w:t>
      </w:r>
      <w:r>
        <w:t xml:space="preserve">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</w:t>
      </w:r>
      <w:r>
        <w:t xml:space="preserve">нных Российской Федерацией на основании федеральных законов, включенные в перечни должностей, определяемые Президентом Российской Федерации. (</w:t>
      </w:r>
      <w:r>
        <w:rPr>
          <w:b/>
        </w:rPr>
        <w:t xml:space="preserve">Перечень публичных должностных лиц указан в </w:t>
      </w:r>
      <w:r/>
    </w:p>
  </w:footnote>
  <w:footnote w:id="25">
    <w:p>
      <w:pPr>
        <w:pStyle w:val="1421"/>
      </w:pPr>
      <w:r>
        <w:rPr>
          <w:rStyle w:val="1420"/>
        </w:rPr>
        <w:t xml:space="preserve">1</w:t>
      </w:r>
      <w:r>
        <w:t xml:space="preserve"> Указание вместо реквизитов лицензии Банка России реквизитов иных до</w:t>
      </w:r>
      <w:r>
        <w:t xml:space="preserve">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26">
    <w:p>
      <w:pPr>
        <w:pStyle w:val="1421"/>
      </w:pPr>
      <w:r>
        <w:rPr>
          <w:rStyle w:val="1420"/>
        </w:rPr>
        <w:t xml:space="preserve">1</w:t>
      </w:r>
      <w:r>
        <w:t xml:space="preserve"> Указание вместо реквизитов лицензии Банка России реквизитов иных документов, подтверждаю</w:t>
      </w:r>
      <w:r>
        <w:t xml:space="preserve">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27">
    <w:p>
      <w:pPr>
        <w:pStyle w:val="1421"/>
      </w:pPr>
      <w:r>
        <w:rPr>
          <w:rStyle w:val="1420"/>
        </w:rPr>
        <w:t xml:space="preserve">****</w:t>
      </w:r>
      <w:r>
        <w:t xml:space="preserve"> </w:t>
      </w:r>
      <w:r>
        <w:rPr>
          <w:bCs/>
        </w:rPr>
        <w:t xml:space="preserve">Настоящая форма применяется в случае использования независимых гарантий на этапе заключения договора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russianLower"/>
      <w:isLgl w:val="false"/>
      <w:suff w:val="tab"/>
      <w:lvlText w:val="%2)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7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 w:ascii="Times New Roman" w:hAnsi="Times New Roman" w:cs="Times New Roman"/>
        <w:b/>
        <w:color w:val="auto"/>
        <w:sz w:val="28"/>
        <w:szCs w:val="28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7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  <w:b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6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8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0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2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4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6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8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0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22" w:hanging="180"/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00" w:hanging="90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020" w:hanging="90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140" w:hanging="900"/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440" w:hanging="1080"/>
      </w:pPr>
      <w:rPr>
        <w:rFonts w:hint="default" w:cs="Times New Roman"/>
        <w:b w:val="0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986" w:hanging="568"/>
        <w:tabs>
          <w:tab w:val="num" w:pos="1986" w:leader="none"/>
        </w:tabs>
      </w:pPr>
      <w:rPr>
        <w:rFonts w:hint="default" w:cs="Times New Roman"/>
      </w:rPr>
    </w:lvl>
    <w:lvl w:ilvl="1">
      <w:start w:val="1"/>
      <w:numFmt w:val="decimal"/>
      <w:pStyle w:val="1558"/>
      <w:isLgl w:val="false"/>
      <w:suff w:val="tab"/>
      <w:lvlText w:val="%1.%2."/>
      <w:lvlJc w:val="left"/>
      <w:pPr>
        <w:ind w:left="3687" w:hanging="1134"/>
        <w:tabs>
          <w:tab w:val="num" w:pos="3687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396" w:hanging="1134"/>
        <w:tabs>
          <w:tab w:val="num" w:pos="4396" w:leader="none"/>
        </w:tabs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54" w:hanging="1134"/>
        <w:tabs>
          <w:tab w:val="num" w:pos="4254" w:leader="none"/>
        </w:tabs>
      </w:pPr>
      <w:rPr>
        <w:rFonts w:hint="default" w:cs="Times New Roman"/>
      </w:rPr>
    </w:lvl>
    <w:lvl w:ilvl="4">
      <w:start w:val="1"/>
      <w:numFmt w:val="lowerLetter"/>
      <w:isLgl w:val="false"/>
      <w:suff w:val="tab"/>
      <w:lvlText w:val="%5)"/>
      <w:lvlJc w:val="left"/>
      <w:pPr>
        <w:ind w:left="3119" w:hanging="567"/>
        <w:tabs>
          <w:tab w:val="num" w:pos="3119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011" w:hanging="1152"/>
        <w:tabs>
          <w:tab w:val="num" w:pos="4011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155" w:hanging="1296"/>
        <w:tabs>
          <w:tab w:val="num" w:pos="4155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99" w:hanging="1440"/>
        <w:tabs>
          <w:tab w:val="num" w:pos="4299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443" w:hanging="1584"/>
        <w:tabs>
          <w:tab w:val="num" w:pos="4443" w:leader="none"/>
        </w:tabs>
      </w:pPr>
      <w:rPr>
        <w:rFonts w:hint="default" w:cs="Times New Roman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tabs>
          <w:tab w:val="num" w:pos="0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 w:cs="Times New Roman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2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5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3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828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88" w:hanging="360"/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b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russianLower"/>
      <w:isLgl w:val="false"/>
      <w:suff w:val="tab"/>
      <w:lvlText w:val="%2)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5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4">
    <w:multiLevelType w:val="hybridMultilevel"/>
    <w:lvl w:ilvl="0">
      <w:start w:val="1"/>
      <w:numFmt w:val="decimal"/>
      <w:pStyle w:val="1484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487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488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1390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5" w:hanging="360"/>
      </w:pPr>
      <w:rPr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7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52" w:hanging="180"/>
      </w:p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5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3" w:hanging="360"/>
      </w:pPr>
      <w:rPr>
        <w:rFonts w:hint="default" w:ascii="Wingdings" w:hAnsi="Wingdings" w:eastAsia="Wingdings" w:cs="Wingdings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5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3" w:hanging="360"/>
      </w:pPr>
      <w:rPr>
        <w:rFonts w:hint="default" w:ascii="Wingdings" w:hAnsi="Wingdings" w:eastAsia="Wingdings" w:cs="Wingdings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russianLower"/>
      <w:isLgl w:val="false"/>
      <w:suff w:val="tab"/>
      <w:lvlText w:val="%2)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521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81">
    <w:multiLevelType w:val="hybridMultilevel"/>
    <w:lvl w:ilvl="0">
      <w:start w:val="1"/>
      <w:numFmt w:val="decimal"/>
      <w:pStyle w:val="1552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554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553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555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0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2" w:hanging="360"/>
      </w:pPr>
      <w:rPr>
        <w:rFonts w:hint="default" w:ascii="Wingdings" w:hAnsi="Wingdings" w:eastAsia="Wingdings" w:cs="Wingdings"/>
      </w:rPr>
    </w:lvl>
  </w:abstractNum>
  <w:abstractNum w:abstractNumId="8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8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5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3" w:hanging="360"/>
      </w:pPr>
      <w:rPr>
        <w:rFonts w:hint="default" w:ascii="Wingdings" w:hAnsi="Wingdings" w:eastAsia="Wingdings" w:cs="Wingdings"/>
      </w:rPr>
    </w:lvl>
  </w:abstractNum>
  <w:abstractNum w:abstractNumId="8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93">
    <w:multiLevelType w:val="hybridMultilevel"/>
    <w:lvl w:ilvl="0">
      <w:start w:val="21"/>
      <w:numFmt w:val="decimal"/>
      <w:isLgl w:val="false"/>
      <w:suff w:val="tab"/>
      <w:lvlText w:val="%1)"/>
      <w:lvlJc w:val="right"/>
      <w:pPr>
        <w:ind w:left="862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58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0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2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4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6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8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0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22" w:hanging="180"/>
      </w:pPr>
    </w:lvl>
  </w:abstractNum>
  <w:abstractNum w:abstractNumId="94">
    <w:multiLevelType w:val="hybridMultilevel"/>
    <w:lvl w:ilvl="0">
      <w:start w:val="20"/>
      <w:numFmt w:val="decimal"/>
      <w:isLgl w:val="false"/>
      <w:suff w:val="tab"/>
      <w:lvlText w:val="%1."/>
      <w:lvlJc w:val="left"/>
      <w:pPr>
        <w:ind w:left="86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8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0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2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4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6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8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0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22" w:hanging="180"/>
      </w:pPr>
    </w:lvl>
  </w:abstractNum>
  <w:num w:numId="1">
    <w:abstractNumId w:val="37"/>
  </w:num>
  <w:num w:numId="2">
    <w:abstractNumId w:val="57"/>
  </w:num>
  <w:num w:numId="3">
    <w:abstractNumId w:val="54"/>
  </w:num>
  <w:num w:numId="4">
    <w:abstractNumId w:val="11"/>
  </w:num>
  <w:num w:numId="5">
    <w:abstractNumId w:val="80"/>
  </w:num>
  <w:num w:numId="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4"/>
  </w:num>
  <w:num w:numId="8">
    <w:abstractNumId w:val="52"/>
  </w:num>
  <w:num w:numId="9">
    <w:abstractNumId w:val="92"/>
  </w:num>
  <w:num w:numId="10">
    <w:abstractNumId w:val="16"/>
  </w:num>
  <w:num w:numId="11">
    <w:abstractNumId w:val="9"/>
  </w:num>
  <w:num w:numId="12">
    <w:abstractNumId w:val="26"/>
  </w:num>
  <w:num w:numId="13">
    <w:abstractNumId w:val="79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6"/>
  </w:num>
  <w:num w:numId="17">
    <w:abstractNumId w:val="78"/>
  </w:num>
  <w:num w:numId="18">
    <w:abstractNumId w:val="89"/>
  </w:num>
  <w:num w:numId="19">
    <w:abstractNumId w:val="24"/>
  </w:num>
  <w:num w:numId="20">
    <w:abstractNumId w:val="29"/>
  </w:num>
  <w:num w:numId="21">
    <w:abstractNumId w:val="58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/>
        <w:rPr>
          <w:rFonts w:hint="default" w:ascii="Times New Roman" w:hAnsi="Times New Roman"/>
        </w:rPr>
      </w:lvl>
    </w:lvlOverride>
  </w:num>
  <w:num w:numId="2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60"/>
  </w:num>
  <w:num w:numId="25">
    <w:abstractNumId w:val="25"/>
  </w:num>
  <w:num w:numId="26">
    <w:abstractNumId w:val="35"/>
  </w:num>
  <w:num w:numId="27">
    <w:abstractNumId w:val="63"/>
  </w:num>
  <w:num w:numId="28">
    <w:abstractNumId w:val="38"/>
  </w:num>
  <w:num w:numId="2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6"/>
  </w:num>
  <w:num w:numId="31">
    <w:abstractNumId w:val="51"/>
  </w:num>
  <w:num w:numId="32">
    <w:abstractNumId w:val="71"/>
  </w:num>
  <w:num w:numId="33">
    <w:abstractNumId w:val="31"/>
  </w:num>
  <w:num w:numId="34">
    <w:abstractNumId w:val="34"/>
  </w:num>
  <w:num w:numId="35">
    <w:abstractNumId w:val="32"/>
  </w:num>
  <w:num w:numId="36">
    <w:abstractNumId w:val="76"/>
  </w:num>
  <w:num w:numId="37">
    <w:abstractNumId w:val="49"/>
  </w:num>
  <w:num w:numId="38">
    <w:abstractNumId w:val="12"/>
  </w:num>
  <w:num w:numId="39">
    <w:abstractNumId w:val="72"/>
  </w:num>
  <w:num w:numId="40">
    <w:abstractNumId w:val="8"/>
  </w:num>
  <w:num w:numId="41">
    <w:abstractNumId w:val="10"/>
  </w:num>
  <w:num w:numId="42">
    <w:abstractNumId w:val="83"/>
  </w:num>
  <w:num w:numId="43">
    <w:abstractNumId w:val="62"/>
  </w:num>
  <w:num w:numId="44">
    <w:abstractNumId w:val="67"/>
  </w:num>
  <w:num w:numId="45">
    <w:abstractNumId w:val="15"/>
  </w:num>
  <w:num w:numId="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6"/>
  </w:num>
  <w:num w:numId="48">
    <w:abstractNumId w:val="90"/>
  </w:num>
  <w:num w:numId="49">
    <w:abstractNumId w:val="85"/>
  </w:num>
  <w:num w:numId="50">
    <w:abstractNumId w:val="84"/>
  </w:num>
  <w:num w:numId="51">
    <w:abstractNumId w:val="74"/>
  </w:num>
  <w:num w:numId="52">
    <w:abstractNumId w:val="27"/>
  </w:num>
  <w:num w:numId="53">
    <w:abstractNumId w:val="69"/>
  </w:num>
  <w:num w:numId="54">
    <w:abstractNumId w:val="42"/>
  </w:num>
  <w:num w:numId="55">
    <w:abstractNumId w:val="1"/>
  </w:num>
  <w:num w:numId="56">
    <w:abstractNumId w:val="65"/>
  </w:num>
  <w:num w:numId="57">
    <w:abstractNumId w:val="19"/>
  </w:num>
  <w:num w:numId="58">
    <w:abstractNumId w:val="20"/>
  </w:num>
  <w:num w:numId="59">
    <w:abstractNumId w:val="45"/>
  </w:num>
  <w:num w:numId="60">
    <w:abstractNumId w:val="43"/>
  </w:num>
  <w:num w:numId="61">
    <w:abstractNumId w:val="64"/>
  </w:num>
  <w:num w:numId="62">
    <w:abstractNumId w:val="41"/>
  </w:num>
  <w:num w:numId="63">
    <w:abstractNumId w:val="66"/>
  </w:num>
  <w:num w:numId="64">
    <w:abstractNumId w:val="73"/>
  </w:num>
  <w:num w:numId="65">
    <w:abstractNumId w:val="17"/>
  </w:num>
  <w:num w:numId="66">
    <w:abstractNumId w:val="14"/>
  </w:num>
  <w:num w:numId="67">
    <w:abstractNumId w:val="47"/>
  </w:num>
  <w:num w:numId="68">
    <w:abstractNumId w:val="28"/>
  </w:num>
  <w:num w:numId="69">
    <w:abstractNumId w:val="22"/>
  </w:num>
  <w:num w:numId="70">
    <w:abstractNumId w:val="13"/>
  </w:num>
  <w:num w:numId="71">
    <w:abstractNumId w:val="68"/>
  </w:num>
  <w:num w:numId="72">
    <w:abstractNumId w:val="87"/>
  </w:num>
  <w:num w:numId="73">
    <w:abstractNumId w:val="5"/>
  </w:num>
  <w:num w:numId="74">
    <w:abstractNumId w:val="39"/>
  </w:num>
  <w:num w:numId="75">
    <w:abstractNumId w:val="4"/>
  </w:num>
  <w:num w:numId="76">
    <w:abstractNumId w:val="3"/>
  </w:num>
  <w:num w:numId="77">
    <w:abstractNumId w:val="50"/>
  </w:num>
  <w:num w:numId="78">
    <w:abstractNumId w:val="70"/>
  </w:num>
  <w:num w:numId="79">
    <w:abstractNumId w:val="82"/>
  </w:num>
  <w:num w:numId="80">
    <w:abstractNumId w:val="48"/>
  </w:num>
  <w:num w:numId="81">
    <w:abstractNumId w:val="88"/>
  </w:num>
  <w:num w:numId="82">
    <w:abstractNumId w:val="36"/>
  </w:num>
  <w:num w:numId="83">
    <w:abstractNumId w:val="75"/>
  </w:num>
  <w:num w:numId="84">
    <w:abstractNumId w:val="40"/>
  </w:num>
  <w:num w:numId="85">
    <w:abstractNumId w:val="2"/>
  </w:num>
  <w:num w:numId="86">
    <w:abstractNumId w:val="86"/>
  </w:num>
  <w:num w:numId="87">
    <w:abstractNumId w:val="18"/>
  </w:num>
  <w:num w:numId="88">
    <w:abstractNumId w:val="33"/>
  </w:num>
  <w:num w:numId="89">
    <w:abstractNumId w:val="59"/>
  </w:num>
  <w:num w:numId="90">
    <w:abstractNumId w:val="91"/>
  </w:num>
  <w:num w:numId="91">
    <w:abstractNumId w:val="30"/>
  </w:num>
  <w:num w:numId="92">
    <w:abstractNumId w:val="55"/>
  </w:num>
  <w:num w:numId="93">
    <w:abstractNumId w:val="61"/>
  </w:num>
  <w:num w:numId="94">
    <w:abstractNumId w:val="93"/>
  </w:num>
  <w:num w:numId="95">
    <w:abstractNumId w:val="9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16" w:default="1">
    <w:name w:val="Normal"/>
    <w:qFormat/>
    <w:pPr>
      <w:jc w:val="both"/>
      <w:spacing w:after="6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7">
    <w:name w:val="Heading 1"/>
    <w:basedOn w:val="1216"/>
    <w:next w:val="1216"/>
    <w:link w:val="1379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1218">
    <w:name w:val="Heading 2"/>
    <w:basedOn w:val="1216"/>
    <w:next w:val="1216"/>
    <w:link w:val="1380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1219">
    <w:name w:val="Heading 3"/>
    <w:basedOn w:val="1216"/>
    <w:next w:val="1216"/>
    <w:link w:val="1381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1220">
    <w:name w:val="Heading 4"/>
    <w:basedOn w:val="1216"/>
    <w:next w:val="1216"/>
    <w:link w:val="1382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1221">
    <w:name w:val="Heading 5"/>
    <w:basedOn w:val="1216"/>
    <w:next w:val="1216"/>
    <w:link w:val="1383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1222">
    <w:name w:val="Heading 6"/>
    <w:basedOn w:val="1216"/>
    <w:next w:val="1216"/>
    <w:link w:val="1384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1223">
    <w:name w:val="Heading 7"/>
    <w:basedOn w:val="1216"/>
    <w:next w:val="1216"/>
    <w:link w:val="1385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1224">
    <w:name w:val="Heading 8"/>
    <w:basedOn w:val="1216"/>
    <w:next w:val="1216"/>
    <w:link w:val="1386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1225">
    <w:name w:val="Heading 9"/>
    <w:basedOn w:val="1216"/>
    <w:next w:val="1216"/>
    <w:link w:val="1387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1226" w:default="1">
    <w:name w:val="Default Paragraph Font"/>
    <w:uiPriority w:val="1"/>
    <w:semiHidden/>
    <w:unhideWhenUsed/>
  </w:style>
  <w:style w:type="table" w:styleId="12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228" w:default="1">
    <w:name w:val="No List"/>
    <w:uiPriority w:val="99"/>
    <w:semiHidden/>
    <w:unhideWhenUsed/>
  </w:style>
  <w:style w:type="character" w:styleId="1229" w:customStyle="1">
    <w:name w:val="Quote Char"/>
    <w:uiPriority w:val="29"/>
    <w:rPr>
      <w:i/>
    </w:rPr>
  </w:style>
  <w:style w:type="character" w:styleId="1230" w:customStyle="1">
    <w:name w:val="Intense Quote Char"/>
    <w:uiPriority w:val="30"/>
    <w:rPr>
      <w:i/>
    </w:rPr>
  </w:style>
  <w:style w:type="character" w:styleId="1231" w:customStyle="1">
    <w:name w:val="Heading 1 Char"/>
    <w:basedOn w:val="1226"/>
    <w:uiPriority w:val="9"/>
    <w:rPr>
      <w:rFonts w:ascii="Arial" w:hAnsi="Arial" w:eastAsia="Arial" w:cs="Arial"/>
      <w:sz w:val="40"/>
      <w:szCs w:val="40"/>
    </w:rPr>
  </w:style>
  <w:style w:type="character" w:styleId="1232" w:customStyle="1">
    <w:name w:val="Heading 2 Char"/>
    <w:basedOn w:val="1226"/>
    <w:uiPriority w:val="9"/>
    <w:rPr>
      <w:rFonts w:ascii="Arial" w:hAnsi="Arial" w:eastAsia="Arial" w:cs="Arial"/>
      <w:sz w:val="34"/>
    </w:rPr>
  </w:style>
  <w:style w:type="character" w:styleId="1233" w:customStyle="1">
    <w:name w:val="Heading 3 Char"/>
    <w:basedOn w:val="1226"/>
    <w:uiPriority w:val="9"/>
    <w:rPr>
      <w:rFonts w:ascii="Arial" w:hAnsi="Arial" w:eastAsia="Arial" w:cs="Arial"/>
      <w:sz w:val="30"/>
      <w:szCs w:val="30"/>
    </w:rPr>
  </w:style>
  <w:style w:type="character" w:styleId="1234" w:customStyle="1">
    <w:name w:val="Heading 4 Char"/>
    <w:basedOn w:val="1226"/>
    <w:uiPriority w:val="9"/>
    <w:rPr>
      <w:rFonts w:ascii="Arial" w:hAnsi="Arial" w:eastAsia="Arial" w:cs="Arial"/>
      <w:b/>
      <w:bCs/>
      <w:sz w:val="26"/>
      <w:szCs w:val="26"/>
    </w:rPr>
  </w:style>
  <w:style w:type="character" w:styleId="1235" w:customStyle="1">
    <w:name w:val="Heading 5 Char"/>
    <w:basedOn w:val="1226"/>
    <w:uiPriority w:val="9"/>
    <w:rPr>
      <w:rFonts w:ascii="Arial" w:hAnsi="Arial" w:eastAsia="Arial" w:cs="Arial"/>
      <w:b/>
      <w:bCs/>
      <w:sz w:val="24"/>
      <w:szCs w:val="24"/>
    </w:rPr>
  </w:style>
  <w:style w:type="character" w:styleId="1236" w:customStyle="1">
    <w:name w:val="Heading 6 Char"/>
    <w:basedOn w:val="1226"/>
    <w:uiPriority w:val="9"/>
    <w:rPr>
      <w:rFonts w:ascii="Arial" w:hAnsi="Arial" w:eastAsia="Arial" w:cs="Arial"/>
      <w:b/>
      <w:bCs/>
      <w:sz w:val="22"/>
      <w:szCs w:val="22"/>
    </w:rPr>
  </w:style>
  <w:style w:type="character" w:styleId="1237" w:customStyle="1">
    <w:name w:val="Heading 7 Char"/>
    <w:basedOn w:val="122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238" w:customStyle="1">
    <w:name w:val="Heading 8 Char"/>
    <w:basedOn w:val="1226"/>
    <w:uiPriority w:val="9"/>
    <w:rPr>
      <w:rFonts w:ascii="Arial" w:hAnsi="Arial" w:eastAsia="Arial" w:cs="Arial"/>
      <w:i/>
      <w:iCs/>
      <w:sz w:val="22"/>
      <w:szCs w:val="22"/>
    </w:rPr>
  </w:style>
  <w:style w:type="character" w:styleId="1239" w:customStyle="1">
    <w:name w:val="Heading 9 Char"/>
    <w:basedOn w:val="1226"/>
    <w:uiPriority w:val="9"/>
    <w:rPr>
      <w:rFonts w:ascii="Arial" w:hAnsi="Arial" w:eastAsia="Arial" w:cs="Arial"/>
      <w:i/>
      <w:iCs/>
      <w:sz w:val="21"/>
      <w:szCs w:val="21"/>
    </w:rPr>
  </w:style>
  <w:style w:type="character" w:styleId="1240" w:customStyle="1">
    <w:name w:val="Title Char"/>
    <w:basedOn w:val="1226"/>
    <w:uiPriority w:val="10"/>
    <w:rPr>
      <w:sz w:val="48"/>
      <w:szCs w:val="48"/>
    </w:rPr>
  </w:style>
  <w:style w:type="character" w:styleId="1241" w:customStyle="1">
    <w:name w:val="Subtitle Char"/>
    <w:basedOn w:val="1226"/>
    <w:uiPriority w:val="11"/>
    <w:rPr>
      <w:sz w:val="24"/>
      <w:szCs w:val="24"/>
    </w:rPr>
  </w:style>
  <w:style w:type="paragraph" w:styleId="1242">
    <w:name w:val="Quote"/>
    <w:basedOn w:val="1216"/>
    <w:next w:val="1216"/>
    <w:link w:val="1243"/>
    <w:uiPriority w:val="29"/>
    <w:qFormat/>
    <w:pPr>
      <w:ind w:left="720" w:right="720"/>
    </w:pPr>
    <w:rPr>
      <w:i/>
    </w:rPr>
  </w:style>
  <w:style w:type="character" w:styleId="1243" w:customStyle="1">
    <w:name w:val="Цитата 2 Знак"/>
    <w:link w:val="1242"/>
    <w:uiPriority w:val="29"/>
    <w:rPr>
      <w:i/>
    </w:rPr>
  </w:style>
  <w:style w:type="paragraph" w:styleId="1244">
    <w:name w:val="Intense Quote"/>
    <w:basedOn w:val="1216"/>
    <w:next w:val="1216"/>
    <w:link w:val="124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245" w:customStyle="1">
    <w:name w:val="Выделенная цитата Знак"/>
    <w:link w:val="1244"/>
    <w:uiPriority w:val="30"/>
    <w:rPr>
      <w:i/>
    </w:rPr>
  </w:style>
  <w:style w:type="character" w:styleId="1246" w:customStyle="1">
    <w:name w:val="Header Char"/>
    <w:basedOn w:val="1226"/>
    <w:uiPriority w:val="99"/>
  </w:style>
  <w:style w:type="character" w:styleId="1247" w:customStyle="1">
    <w:name w:val="Footer Char"/>
    <w:basedOn w:val="1226"/>
    <w:uiPriority w:val="99"/>
  </w:style>
  <w:style w:type="character" w:styleId="1248" w:customStyle="1">
    <w:name w:val="Caption Char"/>
    <w:uiPriority w:val="99"/>
  </w:style>
  <w:style w:type="table" w:styleId="1249" w:customStyle="1">
    <w:name w:val="Table Grid Light"/>
    <w:basedOn w:val="122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250">
    <w:name w:val="Plain Table 1"/>
    <w:basedOn w:val="122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251">
    <w:name w:val="Plain Table 2"/>
    <w:basedOn w:val="122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252">
    <w:name w:val="Plain Table 3"/>
    <w:basedOn w:val="12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253">
    <w:name w:val="Plain Table 4"/>
    <w:basedOn w:val="12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4">
    <w:name w:val="Plain Table 5"/>
    <w:basedOn w:val="12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255">
    <w:name w:val="Grid Table 1 Light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6" w:customStyle="1">
    <w:name w:val="Grid Table 1 Light - Accent 1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7" w:customStyle="1">
    <w:name w:val="Grid Table 1 Light - Accent 2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8" w:customStyle="1">
    <w:name w:val="Grid Table 1 Light - Accent 3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9" w:customStyle="1">
    <w:name w:val="Grid Table 1 Light - Accent 4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0" w:customStyle="1">
    <w:name w:val="Grid Table 1 Light - Accent 5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1" w:customStyle="1">
    <w:name w:val="Grid Table 1 Light - Accent 6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2">
    <w:name w:val="Grid Table 2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3" w:customStyle="1">
    <w:name w:val="Grid Table 2 - Accent 1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4" w:customStyle="1">
    <w:name w:val="Grid Table 2 - Accent 2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5" w:customStyle="1">
    <w:name w:val="Grid Table 2 - Accent 3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6" w:customStyle="1">
    <w:name w:val="Grid Table 2 - Accent 4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7" w:customStyle="1">
    <w:name w:val="Grid Table 2 - Accent 5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8" w:customStyle="1">
    <w:name w:val="Grid Table 2 - Accent 6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9">
    <w:name w:val="Grid Table 3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0" w:customStyle="1">
    <w:name w:val="Grid Table 3 - Accent 1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1" w:customStyle="1">
    <w:name w:val="Grid Table 3 - Accent 2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2" w:customStyle="1">
    <w:name w:val="Grid Table 3 - Accent 3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3" w:customStyle="1">
    <w:name w:val="Grid Table 3 - Accent 4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4" w:customStyle="1">
    <w:name w:val="Grid Table 3 - Accent 5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5" w:customStyle="1">
    <w:name w:val="Grid Table 3 - Accent 6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6">
    <w:name w:val="Grid Table 4"/>
    <w:basedOn w:val="12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277" w:customStyle="1">
    <w:name w:val="Grid Table 4 - Accent 1"/>
    <w:basedOn w:val="12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1278" w:customStyle="1">
    <w:name w:val="Grid Table 4 - Accent 2"/>
    <w:basedOn w:val="12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279" w:customStyle="1">
    <w:name w:val="Grid Table 4 - Accent 3"/>
    <w:basedOn w:val="12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280" w:customStyle="1">
    <w:name w:val="Grid Table 4 - Accent 4"/>
    <w:basedOn w:val="12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281" w:customStyle="1">
    <w:name w:val="Grid Table 4 - Accent 5"/>
    <w:basedOn w:val="12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282" w:customStyle="1">
    <w:name w:val="Grid Table 4 - Accent 6"/>
    <w:basedOn w:val="12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283">
    <w:name w:val="Grid Table 5 Dark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284" w:customStyle="1">
    <w:name w:val="Grid Table 5 Dark- Accent 1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1285" w:customStyle="1">
    <w:name w:val="Grid Table 5 Dark - Accent 2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286" w:customStyle="1">
    <w:name w:val="Grid Table 5 Dark - Accent 3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287" w:customStyle="1">
    <w:name w:val="Grid Table 5 Dark- Accent 4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288" w:customStyle="1">
    <w:name w:val="Grid Table 5 Dark - Accent 5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1289" w:customStyle="1">
    <w:name w:val="Grid Table 5 Dark - Accent 6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290">
    <w:name w:val="Grid Table 6 Colorful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291" w:customStyle="1">
    <w:name w:val="Grid Table 6 Colorful - Accent 1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292" w:customStyle="1">
    <w:name w:val="Grid Table 6 Colorful - Accent 2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293" w:customStyle="1">
    <w:name w:val="Grid Table 6 Colorful - Accent 3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294" w:customStyle="1">
    <w:name w:val="Grid Table 6 Colorful - Accent 4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295" w:customStyle="1">
    <w:name w:val="Grid Table 6 Colorful - Accent 5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296" w:customStyle="1">
    <w:name w:val="Grid Table 6 Colorful - Accent 6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297">
    <w:name w:val="Grid Table 7 Colorful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98" w:customStyle="1">
    <w:name w:val="Grid Table 7 Colorful - Accent 1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99" w:customStyle="1">
    <w:name w:val="Grid Table 7 Colorful - Accent 2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0" w:customStyle="1">
    <w:name w:val="Grid Table 7 Colorful - Accent 3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1" w:customStyle="1">
    <w:name w:val="Grid Table 7 Colorful - Accent 4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2" w:customStyle="1">
    <w:name w:val="Grid Table 7 Colorful - Accent 5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3" w:customStyle="1">
    <w:name w:val="Grid Table 7 Colorful - Accent 6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4">
    <w:name w:val="List Table 1 Light"/>
    <w:basedOn w:val="12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05" w:customStyle="1">
    <w:name w:val="List Table 1 Light - Accent 1"/>
    <w:basedOn w:val="12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06" w:customStyle="1">
    <w:name w:val="List Table 1 Light - Accent 2"/>
    <w:basedOn w:val="12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07" w:customStyle="1">
    <w:name w:val="List Table 1 Light - Accent 3"/>
    <w:basedOn w:val="12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08" w:customStyle="1">
    <w:name w:val="List Table 1 Light - Accent 4"/>
    <w:basedOn w:val="12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09" w:customStyle="1">
    <w:name w:val="List Table 1 Light - Accent 5"/>
    <w:basedOn w:val="12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0" w:customStyle="1">
    <w:name w:val="List Table 1 Light - Accent 6"/>
    <w:basedOn w:val="12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1">
    <w:name w:val="List Table 2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312" w:customStyle="1">
    <w:name w:val="List Table 2 - Accent 1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313" w:customStyle="1">
    <w:name w:val="List Table 2 - Accent 2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314" w:customStyle="1">
    <w:name w:val="List Table 2 - Accent 3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315" w:customStyle="1">
    <w:name w:val="List Table 2 - Accent 4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316" w:customStyle="1">
    <w:name w:val="List Table 2 - Accent 5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317" w:customStyle="1">
    <w:name w:val="List Table 2 - Accent 6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318">
    <w:name w:val="List Table 3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9" w:customStyle="1">
    <w:name w:val="List Table 3 - Accent 1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0" w:customStyle="1">
    <w:name w:val="List Table 3 - Accent 2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1" w:customStyle="1">
    <w:name w:val="List Table 3 - Accent 3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2" w:customStyle="1">
    <w:name w:val="List Table 3 - Accent 4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3" w:customStyle="1">
    <w:name w:val="List Table 3 - Accent 5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4" w:customStyle="1">
    <w:name w:val="List Table 3 - Accent 6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5">
    <w:name w:val="List Table 4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6" w:customStyle="1">
    <w:name w:val="List Table 4 - Accent 1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7" w:customStyle="1">
    <w:name w:val="List Table 4 - Accent 2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8" w:customStyle="1">
    <w:name w:val="List Table 4 - Accent 3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9" w:customStyle="1">
    <w:name w:val="List Table 4 - Accent 4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0" w:customStyle="1">
    <w:name w:val="List Table 4 - Accent 5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1" w:customStyle="1">
    <w:name w:val="List Table 4 - Accent 6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2">
    <w:name w:val="List Table 5 Dark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33" w:customStyle="1">
    <w:name w:val="List Table 5 Dark - Accent 1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34" w:customStyle="1">
    <w:name w:val="List Table 5 Dark - Accent 2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35" w:customStyle="1">
    <w:name w:val="List Table 5 Dark - Accent 3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36" w:customStyle="1">
    <w:name w:val="List Table 5 Dark - Accent 4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37" w:customStyle="1">
    <w:name w:val="List Table 5 Dark - Accent 5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38" w:customStyle="1">
    <w:name w:val="List Table 5 Dark - Accent 6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39">
    <w:name w:val="List Table 6 Colorful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340" w:customStyle="1">
    <w:name w:val="List Table 6 Colorful - Accent 1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341" w:customStyle="1">
    <w:name w:val="List Table 6 Colorful - Accent 2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342" w:customStyle="1">
    <w:name w:val="List Table 6 Colorful - Accent 3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343" w:customStyle="1">
    <w:name w:val="List Table 6 Colorful - Accent 4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344" w:customStyle="1">
    <w:name w:val="List Table 6 Colorful - Accent 5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345" w:customStyle="1">
    <w:name w:val="List Table 6 Colorful - Accent 6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346">
    <w:name w:val="List Table 7 Colorful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47" w:customStyle="1">
    <w:name w:val="List Table 7 Colorful - Accent 1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48" w:customStyle="1">
    <w:name w:val="List Table 7 Colorful - Accent 2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49" w:customStyle="1">
    <w:name w:val="List Table 7 Colorful - Accent 3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50" w:customStyle="1">
    <w:name w:val="List Table 7 Colorful - Accent 4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51" w:customStyle="1">
    <w:name w:val="List Table 7 Colorful - Accent 5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52" w:customStyle="1">
    <w:name w:val="List Table 7 Colorful - Accent 6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53" w:customStyle="1">
    <w:name w:val="Lined - Accent"/>
    <w:basedOn w:val="12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354" w:customStyle="1">
    <w:name w:val="Lined - Accent 1"/>
    <w:basedOn w:val="12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355" w:customStyle="1">
    <w:name w:val="Lined - Accent 2"/>
    <w:basedOn w:val="12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356" w:customStyle="1">
    <w:name w:val="Lined - Accent 3"/>
    <w:basedOn w:val="12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357" w:customStyle="1">
    <w:name w:val="Lined - Accent 4"/>
    <w:basedOn w:val="12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358" w:customStyle="1">
    <w:name w:val="Lined - Accent 5"/>
    <w:basedOn w:val="12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359" w:customStyle="1">
    <w:name w:val="Lined - Accent 6"/>
    <w:basedOn w:val="12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360" w:customStyle="1">
    <w:name w:val="Bordered &amp; Lined - Accent"/>
    <w:basedOn w:val="12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361" w:customStyle="1">
    <w:name w:val="Bordered &amp; Lined - Accent 1"/>
    <w:basedOn w:val="12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362" w:customStyle="1">
    <w:name w:val="Bordered &amp; Lined - Accent 2"/>
    <w:basedOn w:val="12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363" w:customStyle="1">
    <w:name w:val="Bordered &amp; Lined - Accent 3"/>
    <w:basedOn w:val="12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364" w:customStyle="1">
    <w:name w:val="Bordered &amp; Lined - Accent 4"/>
    <w:basedOn w:val="12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365" w:customStyle="1">
    <w:name w:val="Bordered &amp; Lined - Accent 5"/>
    <w:basedOn w:val="12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366" w:customStyle="1">
    <w:name w:val="Bordered &amp; Lined - Accent 6"/>
    <w:basedOn w:val="12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367" w:customStyle="1">
    <w:name w:val="Bordered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368" w:customStyle="1">
    <w:name w:val="Bordered - Accent 1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369" w:customStyle="1">
    <w:name w:val="Bordered - Accent 2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370" w:customStyle="1">
    <w:name w:val="Bordered - Accent 3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371" w:customStyle="1">
    <w:name w:val="Bordered - Accent 4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372" w:customStyle="1">
    <w:name w:val="Bordered - Accent 5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373" w:customStyle="1">
    <w:name w:val="Bordered - Accent 6"/>
    <w:basedOn w:val="12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374" w:customStyle="1">
    <w:name w:val="Footnote Text Char"/>
    <w:uiPriority w:val="99"/>
    <w:rPr>
      <w:sz w:val="18"/>
    </w:rPr>
  </w:style>
  <w:style w:type="character" w:styleId="1375" w:customStyle="1">
    <w:name w:val="Endnote Text Char"/>
    <w:uiPriority w:val="99"/>
    <w:rPr>
      <w:sz w:val="20"/>
    </w:rPr>
  </w:style>
  <w:style w:type="character" w:styleId="1376">
    <w:name w:val="endnote reference"/>
    <w:basedOn w:val="1226"/>
    <w:uiPriority w:val="99"/>
    <w:semiHidden/>
    <w:unhideWhenUsed/>
    <w:rPr>
      <w:vertAlign w:val="superscript"/>
    </w:rPr>
  </w:style>
  <w:style w:type="paragraph" w:styleId="1377">
    <w:name w:val="TOC Heading"/>
    <w:uiPriority w:val="39"/>
    <w:unhideWhenUsed/>
  </w:style>
  <w:style w:type="paragraph" w:styleId="1378">
    <w:name w:val="table of figures"/>
    <w:basedOn w:val="1216"/>
    <w:next w:val="1216"/>
    <w:uiPriority w:val="99"/>
    <w:unhideWhenUsed/>
    <w:pPr>
      <w:spacing w:after="0"/>
    </w:pPr>
  </w:style>
  <w:style w:type="character" w:styleId="1379" w:customStyle="1">
    <w:name w:val="Заголовок 1 Знак1"/>
    <w:link w:val="1217"/>
    <w:uiPriority w:val="99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1380" w:customStyle="1">
    <w:name w:val="Заголовок 2 Знак"/>
    <w:basedOn w:val="1226"/>
    <w:link w:val="1218"/>
    <w:rPr>
      <w:rFonts w:ascii="Times New Roman" w:hAnsi="Times New Roman" w:eastAsia="Times New Roman" w:cs="Times New Roman"/>
      <w:b/>
      <w:bCs/>
      <w:sz w:val="30"/>
      <w:szCs w:val="30"/>
      <w:lang w:eastAsia="ru-RU"/>
    </w:rPr>
  </w:style>
  <w:style w:type="character" w:styleId="1381" w:customStyle="1">
    <w:name w:val="Заголовок 3 Знак"/>
    <w:basedOn w:val="1226"/>
    <w:link w:val="1219"/>
    <w:uiPriority w:val="99"/>
    <w:rPr>
      <w:rFonts w:ascii="Arial" w:hAnsi="Arial" w:eastAsia="Times New Roman" w:cs="Arial"/>
      <w:b/>
      <w:bCs/>
      <w:sz w:val="24"/>
      <w:szCs w:val="24"/>
      <w:lang w:eastAsia="ru-RU"/>
    </w:rPr>
  </w:style>
  <w:style w:type="character" w:styleId="1382" w:customStyle="1">
    <w:name w:val="Заголовок 4 Знак"/>
    <w:basedOn w:val="1226"/>
    <w:link w:val="1220"/>
    <w:uiPriority w:val="99"/>
    <w:rPr>
      <w:rFonts w:ascii="Arial" w:hAnsi="Arial" w:eastAsia="Times New Roman" w:cs="Arial"/>
      <w:sz w:val="24"/>
      <w:szCs w:val="24"/>
      <w:lang w:eastAsia="ru-RU"/>
    </w:rPr>
  </w:style>
  <w:style w:type="character" w:styleId="1383" w:customStyle="1">
    <w:name w:val="Заголовок 5 Знак"/>
    <w:basedOn w:val="1226"/>
    <w:link w:val="1221"/>
    <w:uiPriority w:val="99"/>
    <w:rPr>
      <w:rFonts w:ascii="Calibri" w:hAnsi="Calibri" w:eastAsia="Times New Roman" w:cs="Calibri"/>
      <w:b/>
      <w:bCs/>
      <w:i/>
      <w:iCs/>
      <w:sz w:val="26"/>
      <w:szCs w:val="26"/>
      <w:lang w:eastAsia="ru-RU"/>
    </w:rPr>
  </w:style>
  <w:style w:type="character" w:styleId="1384" w:customStyle="1">
    <w:name w:val="Заголовок 6 Знак"/>
    <w:basedOn w:val="1226"/>
    <w:link w:val="1222"/>
    <w:uiPriority w:val="99"/>
    <w:rPr>
      <w:rFonts w:ascii="Times New Roman" w:hAnsi="Times New Roman" w:eastAsia="Times New Roman" w:cs="Times New Roman"/>
      <w:i/>
      <w:iCs/>
      <w:sz w:val="20"/>
      <w:szCs w:val="20"/>
      <w:lang w:eastAsia="ru-RU"/>
    </w:rPr>
  </w:style>
  <w:style w:type="character" w:styleId="1385" w:customStyle="1">
    <w:name w:val="Заголовок 7 Знак"/>
    <w:basedOn w:val="1226"/>
    <w:link w:val="1223"/>
    <w:uiPriority w:val="99"/>
    <w:rPr>
      <w:rFonts w:ascii="Arial" w:hAnsi="Arial" w:eastAsia="Times New Roman" w:cs="Arial"/>
      <w:sz w:val="20"/>
      <w:szCs w:val="20"/>
      <w:lang w:eastAsia="ru-RU"/>
    </w:rPr>
  </w:style>
  <w:style w:type="character" w:styleId="1386" w:customStyle="1">
    <w:name w:val="Заголовок 8 Знак"/>
    <w:basedOn w:val="1226"/>
    <w:link w:val="1224"/>
    <w:uiPriority w:val="99"/>
    <w:rPr>
      <w:rFonts w:ascii="Arial" w:hAnsi="Arial" w:eastAsia="Times New Roman" w:cs="Arial"/>
      <w:i/>
      <w:iCs/>
      <w:sz w:val="20"/>
      <w:szCs w:val="20"/>
      <w:lang w:eastAsia="ru-RU"/>
    </w:rPr>
  </w:style>
  <w:style w:type="character" w:styleId="1387" w:customStyle="1">
    <w:name w:val="Заголовок 9 Знак"/>
    <w:basedOn w:val="1226"/>
    <w:link w:val="1225"/>
    <w:uiPriority w:val="99"/>
    <w:rPr>
      <w:rFonts w:ascii="Arial" w:hAnsi="Arial" w:eastAsia="Times New Roman" w:cs="Arial"/>
      <w:b/>
      <w:bCs/>
      <w:i/>
      <w:iCs/>
      <w:sz w:val="18"/>
      <w:szCs w:val="18"/>
      <w:lang w:eastAsia="ru-RU"/>
    </w:rPr>
  </w:style>
  <w:style w:type="character" w:styleId="1388" w:customStyle="1">
    <w:name w:val="Заголовок 1 Знак"/>
    <w:basedOn w:val="1226"/>
    <w:rPr>
      <w:rFonts w:asciiTheme="majorHAnsi" w:hAnsiTheme="majorHAnsi" w:eastAsiaTheme="majorEastAsia" w:cstheme="majorBidi"/>
      <w:color w:val="2e74b5" w:themeColor="accent1" w:themeShade="BF"/>
      <w:sz w:val="32"/>
      <w:szCs w:val="32"/>
      <w:lang w:eastAsia="ru-RU"/>
    </w:rPr>
  </w:style>
  <w:style w:type="paragraph" w:styleId="1389" w:customStyle="1">
    <w:name w:val="Основной текст с отступом1"/>
    <w:basedOn w:val="1216"/>
    <w:uiPriority w:val="99"/>
    <w:pPr>
      <w:ind w:firstLine="851"/>
      <w:spacing w:before="60" w:after="0"/>
    </w:pPr>
  </w:style>
  <w:style w:type="paragraph" w:styleId="1390">
    <w:name w:val="Body Text Indent"/>
    <w:basedOn w:val="1216"/>
    <w:link w:val="1391"/>
    <w:uiPriority w:val="99"/>
    <w:pPr>
      <w:numPr>
        <w:ilvl w:val="1"/>
        <w:numId w:val="2"/>
      </w:numPr>
    </w:pPr>
  </w:style>
  <w:style w:type="character" w:styleId="1391" w:customStyle="1">
    <w:name w:val="Основной текст с отступом Знак"/>
    <w:basedOn w:val="1226"/>
    <w:link w:val="139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2">
    <w:name w:val="List Bullet"/>
    <w:basedOn w:val="1216"/>
    <w:uiPriority w:val="99"/>
    <w:pPr>
      <w:widowControl w:val="off"/>
    </w:pPr>
  </w:style>
  <w:style w:type="paragraph" w:styleId="1393">
    <w:name w:val="List Bullet 2"/>
    <w:basedOn w:val="1216"/>
    <w:uiPriority w:val="99"/>
    <w:pPr>
      <w:ind w:left="643" w:hanging="360"/>
      <w:tabs>
        <w:tab w:val="num" w:pos="643" w:leader="none"/>
      </w:tabs>
    </w:pPr>
  </w:style>
  <w:style w:type="paragraph" w:styleId="1394">
    <w:name w:val="List Bullet 3"/>
    <w:basedOn w:val="1216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395">
    <w:name w:val="List Bullet 4"/>
    <w:basedOn w:val="1216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396">
    <w:name w:val="List Bullet 5"/>
    <w:basedOn w:val="1216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397">
    <w:name w:val="List Number"/>
    <w:basedOn w:val="1216"/>
    <w:uiPriority w:val="99"/>
    <w:pPr>
      <w:ind w:left="360" w:hanging="360"/>
      <w:tabs>
        <w:tab w:val="num" w:pos="1492" w:leader="none"/>
      </w:tabs>
    </w:pPr>
  </w:style>
  <w:style w:type="paragraph" w:styleId="1398">
    <w:name w:val="List Number 2"/>
    <w:basedOn w:val="1216"/>
    <w:uiPriority w:val="99"/>
    <w:pPr>
      <w:ind w:left="643" w:hanging="360"/>
      <w:tabs>
        <w:tab w:val="num" w:pos="643" w:leader="none"/>
      </w:tabs>
    </w:pPr>
  </w:style>
  <w:style w:type="paragraph" w:styleId="1399">
    <w:name w:val="List Number 3"/>
    <w:basedOn w:val="1216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400">
    <w:name w:val="List Number 4"/>
    <w:basedOn w:val="1216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401">
    <w:name w:val="List Number 5"/>
    <w:basedOn w:val="1216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402">
    <w:name w:val="Title"/>
    <w:basedOn w:val="1216"/>
    <w:link w:val="1403"/>
    <w:uiPriority w:val="99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1403" w:customStyle="1">
    <w:name w:val="Заголовок Знак"/>
    <w:basedOn w:val="1226"/>
    <w:link w:val="1402"/>
    <w:uiPriority w:val="99"/>
    <w:rPr>
      <w:rFonts w:ascii="Cambria" w:hAnsi="Cambria" w:eastAsia="Times New Roman" w:cs="Cambria"/>
      <w:b/>
      <w:bCs/>
      <w:sz w:val="32"/>
      <w:szCs w:val="32"/>
      <w:lang w:eastAsia="ru-RU"/>
    </w:rPr>
  </w:style>
  <w:style w:type="paragraph" w:styleId="1404">
    <w:name w:val="Subtitle"/>
    <w:basedOn w:val="1216"/>
    <w:link w:val="1405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1405" w:customStyle="1">
    <w:name w:val="Подзаголовок Знак"/>
    <w:basedOn w:val="1226"/>
    <w:link w:val="1404"/>
    <w:uiPriority w:val="99"/>
    <w:rPr>
      <w:rFonts w:ascii="Cambria" w:hAnsi="Cambria" w:eastAsia="Times New Roman" w:cs="Cambria"/>
      <w:sz w:val="24"/>
      <w:szCs w:val="24"/>
      <w:lang w:eastAsia="ru-RU"/>
    </w:rPr>
  </w:style>
  <w:style w:type="paragraph" w:styleId="1406">
    <w:name w:val="toc 3"/>
    <w:basedOn w:val="1216"/>
    <w:next w:val="1216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1407">
    <w:name w:val="toc 1"/>
    <w:basedOn w:val="1216"/>
    <w:next w:val="1216"/>
    <w:uiPriority w:val="39"/>
    <w:pPr>
      <w:jc w:val="left"/>
      <w:spacing w:before="120" w:after="120"/>
      <w:tabs>
        <w:tab w:val="left" w:pos="709" w:leader="none"/>
        <w:tab w:val="right" w:pos="10195" w:leader="dot"/>
      </w:tabs>
    </w:pPr>
    <w:rPr>
      <w:b/>
      <w:bCs/>
      <w:caps/>
      <w:sz w:val="20"/>
      <w:szCs w:val="20"/>
    </w:rPr>
  </w:style>
  <w:style w:type="paragraph" w:styleId="1408">
    <w:name w:val="toc 2"/>
    <w:basedOn w:val="1216"/>
    <w:next w:val="1216"/>
    <w:uiPriority w:val="39"/>
    <w:pPr>
      <w:jc w:val="left"/>
      <w:spacing w:after="0"/>
      <w:tabs>
        <w:tab w:val="left" w:pos="960" w:leader="none"/>
        <w:tab w:val="right" w:pos="10195" w:leader="dot"/>
      </w:tabs>
    </w:pPr>
    <w:rPr>
      <w:smallCaps/>
      <w:sz w:val="20"/>
      <w:szCs w:val="20"/>
    </w:rPr>
  </w:style>
  <w:style w:type="paragraph" w:styleId="1409">
    <w:name w:val="Date"/>
    <w:basedOn w:val="1216"/>
    <w:next w:val="1216"/>
    <w:link w:val="1410"/>
    <w:uiPriority w:val="99"/>
  </w:style>
  <w:style w:type="character" w:styleId="1410" w:customStyle="1">
    <w:name w:val="Дата Знак"/>
    <w:basedOn w:val="1226"/>
    <w:link w:val="140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1">
    <w:name w:val="Body Text"/>
    <w:basedOn w:val="1216"/>
    <w:link w:val="1412"/>
    <w:uiPriority w:val="99"/>
    <w:pPr>
      <w:spacing w:after="120"/>
    </w:pPr>
  </w:style>
  <w:style w:type="character" w:styleId="1412" w:customStyle="1">
    <w:name w:val="Основной текст Знак"/>
    <w:basedOn w:val="1226"/>
    <w:link w:val="141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3">
    <w:name w:val="Body Text Indent 2"/>
    <w:basedOn w:val="1216"/>
    <w:link w:val="1414"/>
    <w:uiPriority w:val="99"/>
    <w:pPr>
      <w:ind w:left="283"/>
      <w:spacing w:after="120" w:line="480" w:lineRule="auto"/>
    </w:pPr>
  </w:style>
  <w:style w:type="character" w:styleId="1414" w:customStyle="1">
    <w:name w:val="Основной текст с отступом 2 Знак"/>
    <w:basedOn w:val="1226"/>
    <w:link w:val="141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5">
    <w:name w:val="Body Text Indent 3"/>
    <w:basedOn w:val="1216"/>
    <w:link w:val="1416"/>
    <w:uiPriority w:val="99"/>
    <w:pPr>
      <w:ind w:left="283"/>
      <w:spacing w:after="120"/>
    </w:pPr>
    <w:rPr>
      <w:sz w:val="16"/>
      <w:szCs w:val="16"/>
    </w:rPr>
  </w:style>
  <w:style w:type="character" w:styleId="1416" w:customStyle="1">
    <w:name w:val="Основной текст с отступом 3 Знак"/>
    <w:basedOn w:val="1226"/>
    <w:link w:val="1415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17">
    <w:name w:val="Header"/>
    <w:basedOn w:val="1216"/>
    <w:link w:val="1418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418" w:customStyle="1">
    <w:name w:val="Верхний колонтитул Знак"/>
    <w:basedOn w:val="1226"/>
    <w:link w:val="141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9">
    <w:name w:val="Block Text"/>
    <w:basedOn w:val="1216"/>
    <w:uiPriority w:val="99"/>
    <w:pPr>
      <w:ind w:left="1440" w:right="1440"/>
      <w:spacing w:after="120"/>
    </w:pPr>
  </w:style>
  <w:style w:type="character" w:styleId="1420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421">
    <w:name w:val="footnote text"/>
    <w:basedOn w:val="1216"/>
    <w:link w:val="1422"/>
    <w:uiPriority w:val="99"/>
    <w:rPr>
      <w:sz w:val="20"/>
      <w:szCs w:val="20"/>
    </w:rPr>
  </w:style>
  <w:style w:type="character" w:styleId="1422" w:customStyle="1">
    <w:name w:val="Текст сноски Знак"/>
    <w:basedOn w:val="1226"/>
    <w:link w:val="1421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423">
    <w:name w:val="page number"/>
    <w:uiPriority w:val="99"/>
    <w:rPr>
      <w:rFonts w:ascii="Times New Roman" w:hAnsi="Times New Roman" w:cs="Times New Roman"/>
    </w:rPr>
  </w:style>
  <w:style w:type="paragraph" w:styleId="1424">
    <w:name w:val="Footer"/>
    <w:basedOn w:val="1216"/>
    <w:link w:val="1425"/>
    <w:uiPriority w:val="99"/>
    <w:pPr>
      <w:tabs>
        <w:tab w:val="center" w:pos="4153" w:leader="none"/>
        <w:tab w:val="right" w:pos="8306" w:leader="none"/>
      </w:tabs>
    </w:pPr>
  </w:style>
  <w:style w:type="character" w:styleId="1425" w:customStyle="1">
    <w:name w:val="Нижний колонтитул Знак"/>
    <w:basedOn w:val="1226"/>
    <w:link w:val="142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26">
    <w:name w:val="Body Text 3"/>
    <w:basedOn w:val="1216"/>
    <w:link w:val="1427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427" w:customStyle="1">
    <w:name w:val="Основной текст 3 Знак"/>
    <w:basedOn w:val="1226"/>
    <w:link w:val="1426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28">
    <w:name w:val="Plain Text"/>
    <w:basedOn w:val="1216"/>
    <w:link w:val="1429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429" w:customStyle="1">
    <w:name w:val="Текст Знак"/>
    <w:basedOn w:val="1226"/>
    <w:link w:val="1428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430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431">
    <w:name w:val="Normal (Web)"/>
    <w:basedOn w:val="1216"/>
    <w:uiPriority w:val="99"/>
    <w:pPr>
      <w:jc w:val="left"/>
      <w:spacing w:before="100" w:beforeAutospacing="1" w:after="100" w:afterAutospacing="1"/>
    </w:pPr>
  </w:style>
  <w:style w:type="paragraph" w:styleId="1432">
    <w:name w:val="HTML Address"/>
    <w:basedOn w:val="1216"/>
    <w:link w:val="1433"/>
    <w:uiPriority w:val="99"/>
    <w:rPr>
      <w:i/>
      <w:iCs/>
    </w:rPr>
  </w:style>
  <w:style w:type="character" w:styleId="1433" w:customStyle="1">
    <w:name w:val="Адрес HTML Знак"/>
    <w:basedOn w:val="1226"/>
    <w:link w:val="1432"/>
    <w:uiPriority w:val="99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434">
    <w:name w:val="envelope address"/>
    <w:basedOn w:val="1216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435">
    <w:name w:val="HTML Acronym"/>
    <w:basedOn w:val="1226"/>
    <w:uiPriority w:val="99"/>
  </w:style>
  <w:style w:type="character" w:styleId="1436">
    <w:name w:val="Emphasis"/>
    <w:uiPriority w:val="99"/>
    <w:qFormat/>
    <w:rPr>
      <w:i/>
      <w:iCs/>
    </w:rPr>
  </w:style>
  <w:style w:type="character" w:styleId="1437">
    <w:name w:val="Hyperlink"/>
    <w:uiPriority w:val="99"/>
    <w:rPr>
      <w:color w:val="0000ff"/>
      <w:u w:val="single"/>
    </w:rPr>
  </w:style>
  <w:style w:type="paragraph" w:styleId="1438">
    <w:name w:val="Note Heading"/>
    <w:basedOn w:val="1216"/>
    <w:next w:val="1216"/>
    <w:link w:val="1439"/>
    <w:uiPriority w:val="99"/>
  </w:style>
  <w:style w:type="character" w:styleId="1439" w:customStyle="1">
    <w:name w:val="Заголовок записки Знак"/>
    <w:basedOn w:val="1226"/>
    <w:link w:val="143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40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441">
    <w:name w:val="HTML Code"/>
    <w:uiPriority w:val="99"/>
    <w:rPr>
      <w:rFonts w:ascii="Courier New" w:hAnsi="Courier New" w:cs="Courier New"/>
      <w:sz w:val="20"/>
      <w:szCs w:val="20"/>
    </w:rPr>
  </w:style>
  <w:style w:type="paragraph" w:styleId="1442">
    <w:name w:val="Body Text First Indent"/>
    <w:basedOn w:val="1411"/>
    <w:link w:val="1443"/>
    <w:uiPriority w:val="99"/>
    <w:pPr>
      <w:ind w:firstLine="210"/>
    </w:pPr>
  </w:style>
  <w:style w:type="character" w:styleId="1443" w:customStyle="1">
    <w:name w:val="Красная строка Знак"/>
    <w:basedOn w:val="1412"/>
    <w:link w:val="144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44">
    <w:name w:val="Body Text First Indent 2"/>
    <w:basedOn w:val="1389"/>
    <w:link w:val="1445"/>
    <w:uiPriority w:val="99"/>
    <w:pPr>
      <w:ind w:left="283" w:firstLine="210"/>
      <w:spacing w:before="0" w:after="120"/>
    </w:pPr>
  </w:style>
  <w:style w:type="character" w:styleId="1445" w:customStyle="1">
    <w:name w:val="Красная строка 2 Знак"/>
    <w:basedOn w:val="1391"/>
    <w:link w:val="144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46">
    <w:name w:val="line number"/>
    <w:basedOn w:val="1226"/>
    <w:uiPriority w:val="99"/>
  </w:style>
  <w:style w:type="character" w:styleId="1447">
    <w:name w:val="HTML Sample"/>
    <w:uiPriority w:val="99"/>
    <w:rPr>
      <w:rFonts w:ascii="Courier New" w:hAnsi="Courier New" w:cs="Courier New"/>
    </w:rPr>
  </w:style>
  <w:style w:type="paragraph" w:styleId="1448">
    <w:name w:val="envelope return"/>
    <w:basedOn w:val="1216"/>
    <w:uiPriority w:val="99"/>
    <w:rPr>
      <w:rFonts w:ascii="Arial" w:hAnsi="Arial" w:cs="Arial"/>
      <w:sz w:val="20"/>
      <w:szCs w:val="20"/>
    </w:rPr>
  </w:style>
  <w:style w:type="paragraph" w:styleId="1449">
    <w:name w:val="Normal Indent"/>
    <w:basedOn w:val="1216"/>
    <w:uiPriority w:val="99"/>
    <w:pPr>
      <w:ind w:left="708"/>
    </w:pPr>
  </w:style>
  <w:style w:type="character" w:styleId="1450">
    <w:name w:val="HTML Definition"/>
    <w:uiPriority w:val="99"/>
    <w:rPr>
      <w:i/>
      <w:iCs/>
    </w:rPr>
  </w:style>
  <w:style w:type="character" w:styleId="1451">
    <w:name w:val="HTML Variable"/>
    <w:uiPriority w:val="99"/>
    <w:rPr>
      <w:i/>
      <w:iCs/>
    </w:rPr>
  </w:style>
  <w:style w:type="character" w:styleId="1452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453">
    <w:name w:val="Signature"/>
    <w:basedOn w:val="1216"/>
    <w:link w:val="1454"/>
    <w:uiPriority w:val="99"/>
    <w:pPr>
      <w:ind w:left="4252"/>
    </w:pPr>
  </w:style>
  <w:style w:type="character" w:styleId="1454" w:customStyle="1">
    <w:name w:val="Подпись Знак"/>
    <w:basedOn w:val="1226"/>
    <w:link w:val="145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55">
    <w:name w:val="Salutation"/>
    <w:basedOn w:val="1216"/>
    <w:next w:val="1216"/>
    <w:link w:val="1456"/>
    <w:uiPriority w:val="99"/>
  </w:style>
  <w:style w:type="character" w:styleId="1456" w:customStyle="1">
    <w:name w:val="Приветствие Знак"/>
    <w:basedOn w:val="1226"/>
    <w:link w:val="145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57">
    <w:name w:val="List Continue"/>
    <w:basedOn w:val="1216"/>
    <w:uiPriority w:val="99"/>
    <w:pPr>
      <w:ind w:left="283"/>
      <w:spacing w:after="120"/>
    </w:pPr>
  </w:style>
  <w:style w:type="paragraph" w:styleId="1458">
    <w:name w:val="List Continue 2"/>
    <w:basedOn w:val="1216"/>
    <w:uiPriority w:val="99"/>
    <w:pPr>
      <w:ind w:left="566"/>
      <w:spacing w:after="120"/>
    </w:pPr>
  </w:style>
  <w:style w:type="paragraph" w:styleId="1459">
    <w:name w:val="List Continue 3"/>
    <w:basedOn w:val="1216"/>
    <w:uiPriority w:val="99"/>
    <w:pPr>
      <w:ind w:left="849"/>
      <w:spacing w:after="120"/>
    </w:pPr>
  </w:style>
  <w:style w:type="paragraph" w:styleId="1460">
    <w:name w:val="List Continue 4"/>
    <w:basedOn w:val="1216"/>
    <w:uiPriority w:val="99"/>
    <w:pPr>
      <w:ind w:left="1132"/>
      <w:spacing w:after="120"/>
    </w:pPr>
  </w:style>
  <w:style w:type="paragraph" w:styleId="1461">
    <w:name w:val="List Continue 5"/>
    <w:basedOn w:val="1216"/>
    <w:uiPriority w:val="99"/>
    <w:pPr>
      <w:ind w:left="1415"/>
      <w:spacing w:after="120"/>
    </w:pPr>
  </w:style>
  <w:style w:type="character" w:styleId="1462">
    <w:name w:val="FollowedHyperlink"/>
    <w:uiPriority w:val="99"/>
    <w:rPr>
      <w:color w:val="800080"/>
      <w:u w:val="single"/>
    </w:rPr>
  </w:style>
  <w:style w:type="paragraph" w:styleId="1463">
    <w:name w:val="Closing"/>
    <w:basedOn w:val="1216"/>
    <w:link w:val="1464"/>
    <w:uiPriority w:val="99"/>
    <w:pPr>
      <w:ind w:left="4252"/>
    </w:pPr>
  </w:style>
  <w:style w:type="character" w:styleId="1464" w:customStyle="1">
    <w:name w:val="Прощание Знак"/>
    <w:basedOn w:val="1226"/>
    <w:link w:val="146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65">
    <w:name w:val="List"/>
    <w:basedOn w:val="1216"/>
    <w:uiPriority w:val="99"/>
    <w:pPr>
      <w:ind w:left="283" w:hanging="283"/>
    </w:pPr>
  </w:style>
  <w:style w:type="paragraph" w:styleId="1466">
    <w:name w:val="List 2"/>
    <w:basedOn w:val="1216"/>
    <w:uiPriority w:val="99"/>
    <w:pPr>
      <w:ind w:left="566" w:hanging="283"/>
    </w:pPr>
  </w:style>
  <w:style w:type="paragraph" w:styleId="1467">
    <w:name w:val="List 3"/>
    <w:basedOn w:val="1216"/>
    <w:uiPriority w:val="99"/>
    <w:pPr>
      <w:ind w:left="849" w:hanging="283"/>
    </w:pPr>
  </w:style>
  <w:style w:type="paragraph" w:styleId="1468">
    <w:name w:val="List 4"/>
    <w:basedOn w:val="1216"/>
    <w:uiPriority w:val="99"/>
    <w:pPr>
      <w:ind w:left="1132" w:hanging="283"/>
    </w:pPr>
  </w:style>
  <w:style w:type="paragraph" w:styleId="1469">
    <w:name w:val="List 5"/>
    <w:basedOn w:val="1216"/>
    <w:uiPriority w:val="99"/>
    <w:pPr>
      <w:ind w:left="1415" w:hanging="283"/>
    </w:pPr>
  </w:style>
  <w:style w:type="paragraph" w:styleId="1470">
    <w:name w:val="HTML Preformatted"/>
    <w:basedOn w:val="1216"/>
    <w:link w:val="1471"/>
    <w:uiPriority w:val="99"/>
    <w:rPr>
      <w:rFonts w:ascii="Courier New" w:hAnsi="Courier New" w:cs="Courier New"/>
      <w:sz w:val="20"/>
      <w:szCs w:val="20"/>
    </w:rPr>
  </w:style>
  <w:style w:type="character" w:styleId="1471" w:customStyle="1">
    <w:name w:val="Стандартный HTML Знак"/>
    <w:basedOn w:val="1226"/>
    <w:link w:val="1470"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1472">
    <w:name w:val="Strong"/>
    <w:uiPriority w:val="99"/>
    <w:qFormat/>
    <w:rPr>
      <w:b/>
      <w:bCs/>
    </w:rPr>
  </w:style>
  <w:style w:type="character" w:styleId="1473">
    <w:name w:val="HTML Cite"/>
    <w:uiPriority w:val="99"/>
    <w:rPr>
      <w:i/>
      <w:iCs/>
    </w:rPr>
  </w:style>
  <w:style w:type="paragraph" w:styleId="1474">
    <w:name w:val="Message Header"/>
    <w:basedOn w:val="1216"/>
    <w:link w:val="1475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475" w:customStyle="1">
    <w:name w:val="Шапка Знак"/>
    <w:basedOn w:val="1226"/>
    <w:link w:val="1474"/>
    <w:uiPriority w:val="99"/>
    <w:rPr>
      <w:rFonts w:ascii="Cambria" w:hAnsi="Cambria" w:eastAsia="Times New Roman" w:cs="Cambria"/>
      <w:sz w:val="24"/>
      <w:szCs w:val="24"/>
      <w:shd w:val="pct20" w:color="auto" w:fill="auto"/>
      <w:lang w:eastAsia="ru-RU"/>
    </w:rPr>
  </w:style>
  <w:style w:type="paragraph" w:styleId="1476">
    <w:name w:val="E-mail Signature"/>
    <w:basedOn w:val="1216"/>
    <w:link w:val="1477"/>
    <w:uiPriority w:val="99"/>
  </w:style>
  <w:style w:type="character" w:styleId="1477" w:customStyle="1">
    <w:name w:val="Электронная подпись Знак"/>
    <w:basedOn w:val="1226"/>
    <w:link w:val="147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78">
    <w:name w:val="toc 4"/>
    <w:basedOn w:val="1216"/>
    <w:next w:val="1216"/>
    <w:uiPriority w:val="39"/>
    <w:pPr>
      <w:ind w:left="720"/>
      <w:jc w:val="left"/>
      <w:spacing w:after="0"/>
    </w:pPr>
    <w:rPr>
      <w:sz w:val="18"/>
      <w:szCs w:val="18"/>
    </w:rPr>
  </w:style>
  <w:style w:type="paragraph" w:styleId="1479">
    <w:name w:val="toc 5"/>
    <w:basedOn w:val="1216"/>
    <w:next w:val="1216"/>
    <w:uiPriority w:val="39"/>
    <w:pPr>
      <w:ind w:left="960"/>
      <w:jc w:val="left"/>
      <w:spacing w:after="0"/>
    </w:pPr>
    <w:rPr>
      <w:sz w:val="18"/>
      <w:szCs w:val="18"/>
    </w:rPr>
  </w:style>
  <w:style w:type="paragraph" w:styleId="1480">
    <w:name w:val="toc 6"/>
    <w:basedOn w:val="1216"/>
    <w:next w:val="1216"/>
    <w:uiPriority w:val="39"/>
    <w:pPr>
      <w:ind w:left="1200"/>
      <w:jc w:val="left"/>
      <w:spacing w:after="0"/>
    </w:pPr>
    <w:rPr>
      <w:sz w:val="18"/>
      <w:szCs w:val="18"/>
    </w:rPr>
  </w:style>
  <w:style w:type="paragraph" w:styleId="1481">
    <w:name w:val="toc 7"/>
    <w:basedOn w:val="1216"/>
    <w:next w:val="1216"/>
    <w:uiPriority w:val="39"/>
    <w:pPr>
      <w:ind w:left="1440"/>
      <w:jc w:val="left"/>
      <w:spacing w:after="0"/>
    </w:pPr>
    <w:rPr>
      <w:sz w:val="18"/>
      <w:szCs w:val="18"/>
    </w:rPr>
  </w:style>
  <w:style w:type="paragraph" w:styleId="1482">
    <w:name w:val="toc 8"/>
    <w:basedOn w:val="1216"/>
    <w:next w:val="1216"/>
    <w:uiPriority w:val="39"/>
    <w:pPr>
      <w:ind w:left="1680"/>
      <w:jc w:val="left"/>
      <w:spacing w:after="0"/>
    </w:pPr>
    <w:rPr>
      <w:sz w:val="18"/>
      <w:szCs w:val="18"/>
    </w:rPr>
  </w:style>
  <w:style w:type="paragraph" w:styleId="1483">
    <w:name w:val="toc 9"/>
    <w:basedOn w:val="1216"/>
    <w:next w:val="1216"/>
    <w:uiPriority w:val="39"/>
    <w:pPr>
      <w:ind w:left="1920"/>
      <w:jc w:val="left"/>
      <w:spacing w:after="0"/>
    </w:pPr>
    <w:rPr>
      <w:sz w:val="18"/>
      <w:szCs w:val="18"/>
    </w:rPr>
  </w:style>
  <w:style w:type="paragraph" w:styleId="1484" w:customStyle="1">
    <w:name w:val="Стиль1"/>
    <w:basedOn w:val="1216"/>
    <w:pPr>
      <w:numPr>
        <w:ilvl w:val="0"/>
        <w:numId w:val="3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485" w:customStyle="1">
    <w:name w:val="содержание2-1"/>
    <w:basedOn w:val="1219"/>
    <w:next w:val="1216"/>
    <w:uiPriority w:val="99"/>
  </w:style>
  <w:style w:type="paragraph" w:styleId="1486" w:customStyle="1">
    <w:name w:val="Заголовок 2.1"/>
    <w:basedOn w:val="1217"/>
    <w:uiPriority w:val="99"/>
    <w:pPr>
      <w:keepLines/>
      <w:widowControl w:val="off"/>
      <w:suppressLineNumbers/>
    </w:pPr>
    <w:rPr>
      <w:caps/>
    </w:rPr>
  </w:style>
  <w:style w:type="paragraph" w:styleId="1487" w:customStyle="1">
    <w:name w:val="Стиль2"/>
    <w:basedOn w:val="1398"/>
    <w:uiPriority w:val="99"/>
    <w:pPr>
      <w:numPr>
        <w:ilvl w:val="1"/>
        <w:numId w:val="3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488" w:customStyle="1">
    <w:name w:val="Стиль3"/>
    <w:basedOn w:val="1413"/>
    <w:pPr>
      <w:numPr>
        <w:ilvl w:val="2"/>
        <w:numId w:val="3"/>
      </w:numPr>
      <w:spacing w:after="0" w:line="240" w:lineRule="auto"/>
      <w:widowControl w:val="off"/>
    </w:pPr>
  </w:style>
  <w:style w:type="paragraph" w:styleId="1489" w:customStyle="1">
    <w:name w:val="содержание2-11"/>
    <w:basedOn w:val="1216"/>
    <w:uiPriority w:val="99"/>
  </w:style>
  <w:style w:type="character" w:styleId="1490" w:customStyle="1">
    <w:name w:val="Знак Знак1"/>
    <w:uiPriority w:val="99"/>
    <w:rPr>
      <w:sz w:val="24"/>
      <w:szCs w:val="24"/>
      <w:lang w:val="ru-RU" w:eastAsia="ru-RU"/>
    </w:rPr>
  </w:style>
  <w:style w:type="character" w:styleId="1491" w:customStyle="1">
    <w:name w:val="Стиль3 Знак"/>
    <w:uiPriority w:val="99"/>
    <w:rPr>
      <w:sz w:val="24"/>
      <w:szCs w:val="24"/>
      <w:lang w:val="ru-RU" w:eastAsia="ru-RU"/>
    </w:rPr>
  </w:style>
  <w:style w:type="paragraph" w:styleId="1492" w:customStyle="1">
    <w:name w:val="Стиль4"/>
    <w:basedOn w:val="1218"/>
    <w:next w:val="1216"/>
    <w:uiPriority w:val="99"/>
    <w:pPr>
      <w:ind w:firstLine="567"/>
      <w:keepLines/>
      <w:widowControl w:val="off"/>
      <w:suppressLineNumbers/>
    </w:pPr>
  </w:style>
  <w:style w:type="paragraph" w:styleId="1493" w:customStyle="1">
    <w:name w:val="Таблица заголовок"/>
    <w:basedOn w:val="1216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494" w:customStyle="1">
    <w:name w:val="текст таблицы"/>
    <w:basedOn w:val="1216"/>
    <w:uiPriority w:val="99"/>
    <w:pPr>
      <w:ind w:right="-102"/>
      <w:jc w:val="left"/>
      <w:spacing w:before="120" w:after="0"/>
    </w:pPr>
  </w:style>
  <w:style w:type="paragraph" w:styleId="1495" w:customStyle="1">
    <w:name w:val="Пункт Знак"/>
    <w:basedOn w:val="1216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496" w:customStyle="1">
    <w:name w:val="a"/>
    <w:basedOn w:val="1216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497" w:customStyle="1">
    <w:name w:val="Словарная статья"/>
    <w:basedOn w:val="1216"/>
    <w:next w:val="1216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498" w:customStyle="1">
    <w:name w:val="Комментарий пользователя"/>
    <w:basedOn w:val="1216"/>
    <w:next w:val="1216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499" w:customStyle="1">
    <w:name w:val="Стиль3 Знак Знак"/>
    <w:uiPriority w:val="99"/>
    <w:rPr>
      <w:sz w:val="24"/>
      <w:szCs w:val="24"/>
      <w:lang w:val="ru-RU" w:eastAsia="ru-RU"/>
    </w:rPr>
  </w:style>
  <w:style w:type="character" w:styleId="1500" w:customStyle="1">
    <w:name w:val="Текст выноски Знак"/>
    <w:basedOn w:val="1226"/>
    <w:link w:val="1501"/>
    <w:uiPriority w:val="99"/>
    <w:semiHidden/>
    <w:rPr>
      <w:rFonts w:ascii="Times New Roman" w:hAnsi="Times New Roman" w:eastAsia="Times New Roman" w:cs="Times New Roman"/>
      <w:sz w:val="20"/>
      <w:szCs w:val="2"/>
      <w:lang w:eastAsia="ru-RU"/>
    </w:rPr>
  </w:style>
  <w:style w:type="paragraph" w:styleId="1501">
    <w:name w:val="Balloon Text"/>
    <w:basedOn w:val="1216"/>
    <w:link w:val="1500"/>
    <w:uiPriority w:val="99"/>
    <w:semiHidden/>
    <w:rPr>
      <w:sz w:val="20"/>
      <w:szCs w:val="2"/>
    </w:rPr>
  </w:style>
  <w:style w:type="character" w:styleId="1502" w:customStyle="1">
    <w:name w:val="label_body_text_1"/>
    <w:uiPriority w:val="99"/>
  </w:style>
  <w:style w:type="paragraph" w:styleId="1503" w:customStyle="1">
    <w:name w:val="Заголовок 1.Document Header1"/>
    <w:basedOn w:val="1216"/>
    <w:next w:val="1216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504" w:customStyle="1">
    <w:name w:val="ConsPlusNormal"/>
    <w:link w:val="1571"/>
    <w:qFormat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505" w:customStyle="1">
    <w:name w:val="Знак Знак11"/>
    <w:uiPriority w:val="99"/>
    <w:rPr>
      <w:sz w:val="24"/>
      <w:szCs w:val="24"/>
      <w:lang w:val="ru-RU" w:eastAsia="ru-RU"/>
    </w:rPr>
  </w:style>
  <w:style w:type="character" w:styleId="1506" w:customStyle="1">
    <w:name w:val="Текст примечания Знак"/>
    <w:basedOn w:val="1226"/>
    <w:link w:val="1507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07">
    <w:name w:val="annotation text"/>
    <w:basedOn w:val="1216"/>
    <w:link w:val="1506"/>
    <w:uiPriority w:val="99"/>
    <w:semiHidden/>
    <w:rPr>
      <w:sz w:val="20"/>
      <w:szCs w:val="20"/>
    </w:rPr>
  </w:style>
  <w:style w:type="character" w:styleId="1508" w:customStyle="1">
    <w:name w:val="Тема примечания Знак"/>
    <w:basedOn w:val="1506"/>
    <w:link w:val="1509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509">
    <w:name w:val="annotation subject"/>
    <w:basedOn w:val="1507"/>
    <w:next w:val="1507"/>
    <w:link w:val="1508"/>
    <w:uiPriority w:val="99"/>
    <w:semiHidden/>
    <w:rPr>
      <w:b/>
      <w:bCs/>
    </w:rPr>
  </w:style>
  <w:style w:type="paragraph" w:styleId="1510" w:customStyle="1">
    <w:name w:val="20"/>
    <w:basedOn w:val="1216"/>
    <w:uiPriority w:val="99"/>
    <w:pPr>
      <w:ind w:left="104" w:right="104"/>
      <w:jc w:val="left"/>
      <w:spacing w:before="104" w:after="104"/>
    </w:pPr>
  </w:style>
  <w:style w:type="paragraph" w:styleId="1511" w:customStyle="1">
    <w:name w:val="Пункт"/>
    <w:basedOn w:val="1216"/>
    <w:link w:val="1512"/>
    <w:pPr>
      <w:ind w:left="1404" w:hanging="504"/>
      <w:spacing w:after="0"/>
      <w:tabs>
        <w:tab w:val="num" w:pos="1980" w:leader="none"/>
      </w:tabs>
    </w:pPr>
  </w:style>
  <w:style w:type="character" w:styleId="1512" w:customStyle="1">
    <w:name w:val="Пункт Знак1"/>
    <w:link w:val="151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13" w:customStyle="1">
    <w:name w:val="Подпункт"/>
    <w:basedOn w:val="1511"/>
    <w:link w:val="1514"/>
    <w:pPr>
      <w:ind w:left="1728" w:hanging="648"/>
      <w:tabs>
        <w:tab w:val="clear" w:pos="1980" w:leader="none"/>
        <w:tab w:val="num" w:pos="2520" w:leader="none"/>
      </w:tabs>
    </w:pPr>
  </w:style>
  <w:style w:type="character" w:styleId="1514" w:customStyle="1">
    <w:name w:val="Подпункт Знак1"/>
    <w:link w:val="151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515" w:customStyle="1">
    <w:name w:val="Схема документа Знак"/>
    <w:basedOn w:val="1226"/>
    <w:link w:val="1516"/>
    <w:uiPriority w:val="99"/>
    <w:semiHidden/>
    <w:rPr>
      <w:rFonts w:ascii="Times New Roman" w:hAnsi="Times New Roman" w:eastAsia="Times New Roman" w:cs="Times New Roman"/>
      <w:sz w:val="2"/>
      <w:szCs w:val="2"/>
      <w:shd w:val="clear" w:color="auto" w:fill="000080"/>
      <w:lang w:eastAsia="ru-RU"/>
    </w:rPr>
  </w:style>
  <w:style w:type="paragraph" w:styleId="1516">
    <w:name w:val="Document Map"/>
    <w:basedOn w:val="1216"/>
    <w:link w:val="1515"/>
    <w:uiPriority w:val="99"/>
    <w:semiHidden/>
    <w:pPr>
      <w:shd w:val="clear" w:color="auto" w:fill="000080"/>
    </w:pPr>
    <w:rPr>
      <w:sz w:val="2"/>
      <w:szCs w:val="2"/>
    </w:rPr>
  </w:style>
  <w:style w:type="paragraph" w:styleId="1517" w:customStyle="1">
    <w:name w:val="Таблица шапка"/>
    <w:basedOn w:val="1216"/>
    <w:link w:val="1518"/>
    <w:pPr>
      <w:ind w:left="57" w:right="57"/>
      <w:jc w:val="left"/>
      <w:keepNext/>
      <w:spacing w:before="40" w:after="40"/>
    </w:pPr>
    <w:rPr>
      <w:sz w:val="18"/>
      <w:szCs w:val="18"/>
    </w:rPr>
  </w:style>
  <w:style w:type="character" w:styleId="1518" w:customStyle="1">
    <w:name w:val="Таблица шапка Знак"/>
    <w:link w:val="1517"/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519" w:customStyle="1">
    <w:name w:val="Таблица текст"/>
    <w:basedOn w:val="1216"/>
    <w:link w:val="1520"/>
    <w:pPr>
      <w:ind w:left="57" w:right="57"/>
      <w:jc w:val="left"/>
      <w:spacing w:before="40" w:after="40"/>
    </w:pPr>
    <w:rPr>
      <w:sz w:val="22"/>
      <w:szCs w:val="22"/>
    </w:rPr>
  </w:style>
  <w:style w:type="character" w:styleId="1520" w:customStyle="1">
    <w:name w:val="Таблица текст Знак"/>
    <w:link w:val="1519"/>
    <w:rPr>
      <w:rFonts w:ascii="Times New Roman" w:hAnsi="Times New Roman" w:eastAsia="Times New Roman" w:cs="Times New Roman"/>
      <w:lang w:eastAsia="ru-RU"/>
    </w:rPr>
  </w:style>
  <w:style w:type="paragraph" w:styleId="1521" w:customStyle="1">
    <w:name w:val="пункт"/>
    <w:basedOn w:val="1216"/>
    <w:uiPriority w:val="99"/>
    <w:pPr>
      <w:numPr>
        <w:ilvl w:val="2"/>
        <w:numId w:val="5"/>
      </w:numPr>
      <w:jc w:val="left"/>
      <w:spacing w:before="60"/>
    </w:pPr>
  </w:style>
  <w:style w:type="character" w:styleId="1522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523" w:customStyle="1">
    <w:name w:val="Обычный1"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24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525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26">
    <w:name w:val="endnote text"/>
    <w:basedOn w:val="1216"/>
    <w:link w:val="1527"/>
    <w:uiPriority w:val="99"/>
    <w:rPr>
      <w:sz w:val="20"/>
      <w:szCs w:val="20"/>
    </w:rPr>
  </w:style>
  <w:style w:type="character" w:styleId="1527" w:customStyle="1">
    <w:name w:val="Текст концевой сноски Знак"/>
    <w:basedOn w:val="1226"/>
    <w:link w:val="152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28" w:customStyle="1">
    <w:name w:val="Основной текст с отступом11"/>
    <w:basedOn w:val="1216"/>
    <w:uiPriority w:val="99"/>
    <w:pPr>
      <w:ind w:firstLine="851"/>
      <w:spacing w:before="60" w:after="0"/>
    </w:pPr>
  </w:style>
  <w:style w:type="character" w:styleId="1529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530">
    <w:name w:val="List Paragraph"/>
    <w:basedOn w:val="1216"/>
    <w:link w:val="1531"/>
    <w:uiPriority w:val="34"/>
    <w:qFormat/>
    <w:pPr>
      <w:ind w:left="720"/>
      <w:jc w:val="left"/>
      <w:spacing w:after="0"/>
    </w:pPr>
  </w:style>
  <w:style w:type="character" w:styleId="1531" w:customStyle="1">
    <w:name w:val="Абзац списка Знак"/>
    <w:basedOn w:val="1226"/>
    <w:link w:val="1530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532" w:customStyle="1">
    <w:name w:val="f"/>
    <w:basedOn w:val="1226"/>
  </w:style>
  <w:style w:type="character" w:styleId="1533" w:customStyle="1">
    <w:name w:val="r"/>
    <w:basedOn w:val="1226"/>
  </w:style>
  <w:style w:type="paragraph" w:styleId="1534">
    <w:name w:val="Body Text 2"/>
    <w:basedOn w:val="1216"/>
    <w:link w:val="1535"/>
    <w:pPr>
      <w:spacing w:after="120" w:line="480" w:lineRule="auto"/>
    </w:pPr>
  </w:style>
  <w:style w:type="character" w:styleId="1535" w:customStyle="1">
    <w:name w:val="Основной текст 2 Знак"/>
    <w:basedOn w:val="1226"/>
    <w:link w:val="1534"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536">
    <w:name w:val="Table Grid"/>
    <w:basedOn w:val="1227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537" w:customStyle="1">
    <w:name w:val="Iniiaiie oaeno"/>
    <w:basedOn w:val="1216"/>
    <w:uiPriority w:val="99"/>
    <w:pPr>
      <w:jc w:val="center"/>
      <w:spacing w:after="0"/>
    </w:pPr>
    <w:rPr>
      <w:rFonts w:ascii="Arial" w:hAnsi="Arial" w:cs="Arial"/>
    </w:rPr>
  </w:style>
  <w:style w:type="paragraph" w:styleId="1538" w:customStyle="1">
    <w:name w:val="Абзац списка1"/>
    <w:basedOn w:val="1216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539" w:customStyle="1">
    <w:name w:val="Таблицы (моноширинный)"/>
    <w:basedOn w:val="1216"/>
    <w:next w:val="1216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paragraph" w:styleId="1540" w:customStyle="1">
    <w:name w:val="Подподпункт"/>
    <w:basedOn w:val="1513"/>
    <w:link w:val="1541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character" w:styleId="1541" w:customStyle="1">
    <w:name w:val="Подподпункт Знак"/>
    <w:basedOn w:val="1226"/>
    <w:link w:val="1540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542" w:customStyle="1">
    <w:name w:val="Пункт-3"/>
    <w:basedOn w:val="1216"/>
    <w:link w:val="1543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543" w:customStyle="1">
    <w:name w:val="Пункт-3 Знак"/>
    <w:link w:val="1542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544" w:customStyle="1">
    <w:name w:val="Основной текст (3)_"/>
    <w:basedOn w:val="1226"/>
    <w:link w:val="1545"/>
    <w:rPr>
      <w:b/>
      <w:bCs/>
      <w:shd w:val="clear" w:color="auto" w:fill="ffffff"/>
    </w:rPr>
  </w:style>
  <w:style w:type="paragraph" w:styleId="1545" w:customStyle="1">
    <w:name w:val="Основной текст (3)"/>
    <w:basedOn w:val="1216"/>
    <w:link w:val="1544"/>
    <w:pPr>
      <w:ind w:firstLine="709"/>
      <w:jc w:val="center"/>
      <w:spacing w:after="0" w:line="274" w:lineRule="exact"/>
      <w:shd w:val="clear" w:color="auto" w:fill="ffffff"/>
      <w:widowControl w:val="off"/>
    </w:pPr>
    <w:rPr>
      <w:rFonts w:asciiTheme="minorHAnsi" w:hAnsiTheme="minorHAnsi" w:eastAsiaTheme="minorHAnsi" w:cstheme="minorBidi"/>
      <w:b/>
      <w:bCs/>
      <w:sz w:val="22"/>
      <w:szCs w:val="22"/>
      <w:lang w:eastAsia="en-US"/>
    </w:rPr>
  </w:style>
  <w:style w:type="paragraph" w:styleId="1546" w:customStyle="1">
    <w:name w:val="Default"/>
    <w:link w:val="1575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1547" w:customStyle="1">
    <w:name w:val="Пункт-4"/>
    <w:basedOn w:val="1216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548" w:customStyle="1">
    <w:name w:val="комментарий"/>
    <w:rPr>
      <w:i/>
      <w:u w:val="none"/>
      <w:shd w:val="clear" w:color="auto" w:fill="ffff99"/>
    </w:rPr>
  </w:style>
  <w:style w:type="paragraph" w:styleId="1549" w:customStyle="1">
    <w:name w:val="Ариал"/>
    <w:basedOn w:val="1216"/>
    <w:link w:val="1550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550" w:customStyle="1">
    <w:name w:val="Ариал Знак1"/>
    <w:link w:val="1549"/>
    <w:rPr>
      <w:rFonts w:ascii="Arial" w:hAnsi="Arial" w:eastAsia="Times New Roman" w:cs="Times New Roman"/>
      <w:sz w:val="24"/>
      <w:szCs w:val="20"/>
    </w:rPr>
  </w:style>
  <w:style w:type="paragraph" w:styleId="1551" w:customStyle="1">
    <w:name w:val="Цитата1"/>
    <w:basedOn w:val="1216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552" w:customStyle="1">
    <w:name w:val="Заголовок_1"/>
    <w:basedOn w:val="1216"/>
    <w:uiPriority w:val="99"/>
    <w:pPr>
      <w:numPr>
        <w:ilvl w:val="0"/>
        <w:numId w:val="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553" w:customStyle="1">
    <w:name w:val="Пункт_3"/>
    <w:basedOn w:val="1216"/>
    <w:uiPriority w:val="99"/>
    <w:pPr>
      <w:numPr>
        <w:ilvl w:val="2"/>
        <w:numId w:val="6"/>
      </w:numPr>
      <w:spacing w:after="0"/>
    </w:pPr>
    <w:rPr>
      <w:sz w:val="28"/>
      <w:szCs w:val="28"/>
    </w:rPr>
  </w:style>
  <w:style w:type="paragraph" w:styleId="1554" w:customStyle="1">
    <w:name w:val="Пункт_2"/>
    <w:basedOn w:val="1216"/>
    <w:uiPriority w:val="99"/>
    <w:pPr>
      <w:numPr>
        <w:ilvl w:val="1"/>
        <w:numId w:val="6"/>
      </w:numPr>
      <w:spacing w:after="0"/>
    </w:pPr>
    <w:rPr>
      <w:sz w:val="28"/>
      <w:szCs w:val="20"/>
    </w:rPr>
  </w:style>
  <w:style w:type="paragraph" w:styleId="1555" w:customStyle="1">
    <w:name w:val="Пункт_5"/>
    <w:basedOn w:val="1553"/>
    <w:uiPriority w:val="99"/>
    <w:pPr>
      <w:numPr>
        <w:ilvl w:val="4"/>
      </w:numPr>
    </w:pPr>
  </w:style>
  <w:style w:type="paragraph" w:styleId="1556">
    <w:name w:val="Caption"/>
    <w:basedOn w:val="1216"/>
    <w:next w:val="1216"/>
    <w:link w:val="1248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paragraph" w:styleId="1557" w:customStyle="1">
    <w:name w:val="Times 12"/>
    <w:basedOn w:val="1216"/>
    <w:pPr>
      <w:ind w:firstLine="567"/>
      <w:spacing w:after="0"/>
    </w:pPr>
    <w:rPr>
      <w:bCs/>
      <w:szCs w:val="22"/>
    </w:rPr>
  </w:style>
  <w:style w:type="paragraph" w:styleId="1558" w:customStyle="1">
    <w:name w:val="FTN_txt"/>
    <w:basedOn w:val="1216"/>
    <w:pPr>
      <w:numPr>
        <w:ilvl w:val="1"/>
        <w:numId w:val="12"/>
      </w:numPr>
      <w:spacing w:after="0" w:line="288" w:lineRule="auto"/>
      <w:widowControl w:val="off"/>
      <w:tabs>
        <w:tab w:val="left" w:pos="1080" w:leader="none"/>
      </w:tabs>
    </w:pPr>
    <w:rPr>
      <w:rFonts w:eastAsia="Arial Unicode MS"/>
    </w:rPr>
  </w:style>
  <w:style w:type="paragraph" w:styleId="1559" w:customStyle="1">
    <w:name w:val="[Ростех] Простой текст (Без уровня)"/>
    <w:link w:val="1560"/>
    <w:uiPriority w:val="99"/>
    <w:qFormat/>
    <w:pPr>
      <w:jc w:val="both"/>
      <w:spacing w:before="120" w:after="0" w:line="240" w:lineRule="auto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560" w:customStyle="1">
    <w:name w:val="[Ростех] Простой текст (Без уровня) Знак"/>
    <w:basedOn w:val="1226"/>
    <w:link w:val="1559"/>
    <w:uiPriority w:val="99"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561" w:customStyle="1">
    <w:name w:val="[Ростех] Текст Подпункта (Уровень 5)"/>
    <w:link w:val="1562"/>
    <w:uiPriority w:val="99"/>
    <w:qFormat/>
    <w:pPr>
      <w:jc w:val="both"/>
      <w:spacing w:before="120" w:after="0" w:line="240" w:lineRule="auto"/>
      <w:outlineLvl w:val="4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562" w:customStyle="1">
    <w:name w:val="[Ростех] Текст Подпункта (Уровень 5) Знак"/>
    <w:basedOn w:val="1226"/>
    <w:link w:val="1561"/>
    <w:uiPriority w:val="99"/>
    <w:qFormat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563" w:customStyle="1">
    <w:name w:val="[Ростех] Текст Подпункта (следующий абзац) (Уровень 4)"/>
    <w:link w:val="1564"/>
    <w:qFormat/>
    <w:pPr>
      <w:ind w:left="1134"/>
      <w:jc w:val="both"/>
      <w:spacing w:before="120" w:after="0" w:line="240" w:lineRule="auto"/>
      <w:outlineLvl w:val="3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564" w:customStyle="1">
    <w:name w:val="[Ростех] Текст Подпункта (следующий абзац) (Уровень 4) Знак"/>
    <w:basedOn w:val="1226"/>
    <w:link w:val="1563"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565" w:customStyle="1">
    <w:name w:val="Пункт б/н"/>
    <w:basedOn w:val="1216"/>
    <w:pPr>
      <w:ind w:firstLine="567"/>
      <w:spacing w:after="0" w:line="360" w:lineRule="auto"/>
      <w:tabs>
        <w:tab w:val="left" w:pos="1134" w:leader="none"/>
      </w:tabs>
    </w:pPr>
    <w:rPr>
      <w:sz w:val="28"/>
      <w:szCs w:val="20"/>
    </w:rPr>
  </w:style>
  <w:style w:type="paragraph" w:styleId="1566" w:customStyle="1">
    <w:name w:val="Основной текст 22"/>
    <w:basedOn w:val="1216"/>
    <w:pPr>
      <w:ind w:firstLine="567"/>
      <w:jc w:val="left"/>
      <w:spacing w:after="0"/>
    </w:pPr>
    <w:rPr>
      <w:szCs w:val="20"/>
    </w:rPr>
  </w:style>
  <w:style w:type="character" w:styleId="1567">
    <w:name w:val="Placeholder Text"/>
    <w:basedOn w:val="1226"/>
    <w:uiPriority w:val="99"/>
    <w:semiHidden/>
    <w:rPr>
      <w:color w:val="808080"/>
    </w:rPr>
  </w:style>
  <w:style w:type="paragraph" w:styleId="1568" w:customStyle="1">
    <w:name w:val="_Маркер (номер) - с заголовком"/>
    <w:basedOn w:val="1216"/>
    <w:pPr>
      <w:jc w:val="left"/>
      <w:spacing w:before="240" w:line="360" w:lineRule="auto"/>
    </w:pPr>
    <w:rPr>
      <w:b/>
      <w:bCs/>
      <w:szCs w:val="20"/>
    </w:rPr>
  </w:style>
  <w:style w:type="table" w:styleId="1569" w:customStyle="1">
    <w:name w:val="Сетка таблицы1"/>
    <w:basedOn w:val="1227"/>
    <w:next w:val="153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70" w:customStyle="1">
    <w:name w:val="Неразрешенное упоминание1"/>
    <w:basedOn w:val="1226"/>
    <w:uiPriority w:val="99"/>
    <w:semiHidden/>
    <w:unhideWhenUsed/>
    <w:rPr>
      <w:color w:val="605e5c"/>
      <w:shd w:val="clear" w:color="auto" w:fill="e1dfdd"/>
    </w:rPr>
  </w:style>
  <w:style w:type="character" w:styleId="1571" w:customStyle="1">
    <w:name w:val="ConsPlusNormal Знак"/>
    <w:link w:val="1504"/>
    <w:rPr>
      <w:rFonts w:ascii="Arial" w:hAnsi="Arial" w:eastAsia="Times New Roman" w:cs="Arial"/>
      <w:sz w:val="20"/>
      <w:szCs w:val="20"/>
      <w:lang w:eastAsia="ru-RU"/>
    </w:rPr>
  </w:style>
  <w:style w:type="paragraph" w:styleId="1572" w:customStyle="1">
    <w:name w:val="Пункт_4"/>
    <w:basedOn w:val="1216"/>
    <w:link w:val="1573"/>
    <w:uiPriority w:val="99"/>
    <w:pPr>
      <w:spacing w:after="0"/>
    </w:pPr>
    <w:rPr>
      <w:sz w:val="28"/>
      <w:szCs w:val="20"/>
      <w:lang w:eastAsia="ko-KR"/>
    </w:rPr>
  </w:style>
  <w:style w:type="character" w:styleId="1573" w:customStyle="1">
    <w:name w:val="Пункт_4 Знак"/>
    <w:link w:val="1572"/>
    <w:uiPriority w:val="99"/>
    <w:rPr>
      <w:rFonts w:ascii="Times New Roman" w:hAnsi="Times New Roman" w:eastAsia="Times New Roman" w:cs="Times New Roman"/>
      <w:sz w:val="28"/>
      <w:szCs w:val="20"/>
      <w:lang w:eastAsia="ko-KR"/>
    </w:rPr>
  </w:style>
  <w:style w:type="table" w:styleId="1574" w:customStyle="1">
    <w:name w:val="Сетка таблицы2"/>
    <w:basedOn w:val="1227"/>
    <w:next w:val="153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75" w:customStyle="1">
    <w:name w:val="Default Знак"/>
    <w:link w:val="1546"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1576" w:customStyle="1">
    <w:name w:val="Нет"/>
  </w:style>
  <w:style w:type="character" w:styleId="1577" w:customStyle="1">
    <w:name w:val="Hyperlink.0"/>
    <w:basedOn w:val="1576"/>
  </w:style>
  <w:style w:type="character" w:styleId="1578" w:customStyle="1">
    <w:name w:val="Hyperlink.1"/>
    <w:rPr>
      <w:color w:val="0000ff"/>
      <w:u w:val="single"/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http://www.consultant.ru/document/cons_doc_LAW_116964/" TargetMode="External"/><Relationship Id="rId13" Type="http://schemas.openxmlformats.org/officeDocument/2006/relationships/hyperlink" Target="https://zakupki.gov.ru/epz/orderclause/card/common-info.html?orderClauseInfoId=967865" TargetMode="External"/><Relationship Id="rId14" Type="http://schemas.openxmlformats.org/officeDocument/2006/relationships/hyperlink" Target="http://www.consultant.ru/document/cons_doc_LAW_5142/" TargetMode="External"/><Relationship Id="rId15" Type="http://schemas.openxmlformats.org/officeDocument/2006/relationships/hyperlink" Target="https://zakupki.gov.ru/epz/orderclause/card/common-info.html?orderClauseInfoId=829138" TargetMode="External"/><Relationship Id="rId16" Type="http://schemas.openxmlformats.org/officeDocument/2006/relationships/hyperlink" Target="https://www.consultant.ru/document/cons_doc_LAW_421788/?ysclid=lh7gcn0ch0337012251" TargetMode="External"/><Relationship Id="rId17" Type="http://schemas.openxmlformats.org/officeDocument/2006/relationships/hyperlink" Target="https://www.consultant.ru/document/cons_doc_LAW_421788/?ysclid=lh7gd9qdev457426157" TargetMode="External"/><Relationship Id="rId18" Type="http://schemas.openxmlformats.org/officeDocument/2006/relationships/hyperlink" Target="http://www.consultant.ru/document/cons_doc_LAW_116964/" TargetMode="External"/><Relationship Id="rId19" Type="http://schemas.openxmlformats.org/officeDocument/2006/relationships/hyperlink" Target="https://www.consultant.ru/document/cons_doc_LAW_144624/?ysclid=lh7gqoclg7259684790" TargetMode="External"/><Relationship Id="rId20" Type="http://schemas.openxmlformats.org/officeDocument/2006/relationships/hyperlink" Target="https://zakupki.gov.ru/epz/orderclause/card/common-info.html?orderClauseInfoId=967865" TargetMode="External"/><Relationship Id="rId21" Type="http://schemas.openxmlformats.org/officeDocument/2006/relationships/hyperlink" Target="https://www.consultant.ru/document/cons_doc_LAW_494318/92d969e26a4326c5d02fa79b8f9cf4994ee5633b/" TargetMode="External"/><Relationship Id="rId22" Type="http://schemas.openxmlformats.org/officeDocument/2006/relationships/hyperlink" Target="https://www.rosseti-yantar.ru/about/politiks/antimonopolnyy-komplaens/" TargetMode="External"/><Relationship Id="rId23" Type="http://schemas.openxmlformats.org/officeDocument/2006/relationships/hyperlink" Target="file:///\\temp-fs.yantarenergo.ru\ia\&#1059;&#1050;&#1055;\&#1047;&#1040;&#1050;&#1056;&#1067;&#1058;&#1040;&#1071;\&#1058;&#1080;&#1087;&#1086;&#1074;&#1099;&#1077;%20&#1076;&#1086;&#1082;&#1091;&#1084;&#1077;&#1085;&#1090;&#1072;&#1094;&#1080;&#1080;\!&#1057;&#1088;&#1077;&#1076;&#1080;%20&#1074;&#1089;&#1077;&#1093;%202025\www.zakupki.gov.ru" TargetMode="External"/><Relationship Id="rId24" Type="http://schemas.openxmlformats.org/officeDocument/2006/relationships/hyperlink" Target="https://www.consultant.ru/document/cons_doc_LAW_5142/03edc46b2ef855fddfaaa3d77dac1d071ef3dba1/" TargetMode="External"/><Relationship Id="rId25" Type="http://schemas.openxmlformats.org/officeDocument/2006/relationships/hyperlink" Target="https://www.consultant.ru/document/cons_doc_LAW_5142/e8b1dba1c6def4f632470a9857908caf60fec137/" TargetMode="External"/><Relationship Id="rId26" Type="http://schemas.openxmlformats.org/officeDocument/2006/relationships/hyperlink" Target="https://www.consultant.ru/document/cons_doc_LAW_144624/af90cad46f4484d18fa490ef1c9d7a3b2fd3be3b/" TargetMode="External"/><Relationship Id="rId27" Type="http://schemas.openxmlformats.org/officeDocument/2006/relationships/hyperlink" Target="https://www.consultant.ru/document/cons_doc_LAW_494318/92d969e26a4326c5d02fa79b8f9cf4994ee5633b/" TargetMode="External"/><Relationship Id="rId28" Type="http://schemas.openxmlformats.org/officeDocument/2006/relationships/hyperlink" Target="https://www.consultant.ru/document/cons_doc_LAW_494318/92d969e26a4326c5d02fa79b8f9cf4994ee5633b/" TargetMode="External"/><Relationship Id="rId29" Type="http://schemas.openxmlformats.org/officeDocument/2006/relationships/hyperlink" Target="https://www.consultant.ru/document/cons_doc_LAW_5142/03edc46b2ef855fddfaaa3d77dac1d071ef3dba1/" TargetMode="External"/><Relationship Id="rId30" Type="http://schemas.openxmlformats.org/officeDocument/2006/relationships/hyperlink" Target="https://www.consultant.ru/document/cons_doc_LAW_5142/e8b1dba1c6def4f632470a9857908caf60fec137/" TargetMode="External"/><Relationship Id="rId31" Type="http://schemas.openxmlformats.org/officeDocument/2006/relationships/hyperlink" Target="https://www.consultant.ru/document/cons_doc_LAW_144624/af90cad46f4484d18fa490ef1c9d7a3b2fd3be3b/" TargetMode="External"/><Relationship Id="rId32" Type="http://schemas.openxmlformats.org/officeDocument/2006/relationships/hyperlink" Target="https://zakupki.gov.ru/epz/orderclause/card/common-info.html?orderClauseInfoId=967865" TargetMode="External"/><Relationship Id="rId33" Type="http://schemas.openxmlformats.org/officeDocument/2006/relationships/hyperlink" Target="https://www.consultant.ru/document/cons_doc_LAW_494318/92d969e26a4326c5d02fa79b8f9cf4994ee5633b/" TargetMode="External"/><Relationship Id="rId34" Type="http://schemas.openxmlformats.org/officeDocument/2006/relationships/hyperlink" Target="https://www.consultant.ru/document/cons_doc_LAW_494318/92d969e26a4326c5d02fa79b8f9cf4994ee5633b/" TargetMode="External"/><Relationship Id="rId35" Type="http://schemas.openxmlformats.org/officeDocument/2006/relationships/hyperlink" Target="mailto:%3d%3fkoi8-r%3fQ%3f%3dED%3dC1%3dCE%3dC4%3dC5%3dCC%3dD8_%3f%3d%20%3d%3fkoi8-r%3fQ%3f%3dF3%3dD7%3dC5%3dD4%3dCC%3dC1%3dCE%3dC1_%3f%3d%20%3d%3fkoi8-r%3fQ%3f%3dF7%3dCC%3dC1%3dC4%3dC9%3dD3%3dCC%3dC1%3dD7%3dCF%3dD7%3dCE%3f%3d%20%3d%3fkoi8-r%3fQ%3f%3dC1%3f%3d%20%3cMandel-SV@Rosseti-Yantar.Ru%3e" TargetMode="External"/><Relationship Id="rId36" Type="http://schemas.openxmlformats.org/officeDocument/2006/relationships/hyperlink" Target="file:///C:\Users\&#1040;&#1083;&#1080;&#1085;&#1072;\Downloads\www.zakupki.gov.ru" TargetMode="External"/><Relationship Id="rId37" Type="http://schemas.openxmlformats.org/officeDocument/2006/relationships/hyperlink" Target="http://fssprus.ru/" TargetMode="External"/><Relationship Id="rId38" Type="http://schemas.openxmlformats.org/officeDocument/2006/relationships/hyperlink" Target="http://www.consultant.ru/document/cons_doc_LAW_34661/f61ff313afecf81a91a43d729c2df55c1d6a1533/" TargetMode="External"/><Relationship Id="rId39" Type="http://schemas.openxmlformats.org/officeDocument/2006/relationships/hyperlink" Target="https://zakupki.gov.ru/epz/dishonestsupplier/search/results.html" TargetMode="External"/><Relationship Id="rId40" Type="http://schemas.openxmlformats.org/officeDocument/2006/relationships/hyperlink" Target="https://www.consultant.ru/document/cons_doc_LAW_116964/a3b63487ad7d07ce045a07b0f1e7a9d9b064de95/?ysclid=lgq77170fl163638946" TargetMode="External"/><Relationship Id="rId41" Type="http://schemas.openxmlformats.org/officeDocument/2006/relationships/hyperlink" Target="https://zakupki.gov.ru/epz/dishonestsupplier/search/results.html" TargetMode="External"/><Relationship Id="rId42" Type="http://schemas.openxmlformats.org/officeDocument/2006/relationships/hyperlink" Target="https://www.consultant.ru/document/cons_doc_LAW_144624/af90cad46f4484d18fa490ef1c9d7a3b2fd3be3b/" TargetMode="External"/><Relationship Id="rId43" Type="http://schemas.openxmlformats.org/officeDocument/2006/relationships/hyperlink" Target="https://minjust.gov.ru/ru/activity/directions/998/" TargetMode="External"/><Relationship Id="rId44" Type="http://schemas.openxmlformats.org/officeDocument/2006/relationships/hyperlink" Target="https://www.consultant.ru/document/cons_doc_LAW_421788/?ysclid=lg20fc4h7v470804950" TargetMode="External"/><Relationship Id="rId45" Type="http://schemas.openxmlformats.org/officeDocument/2006/relationships/hyperlink" Target="https://www.consultant.ru/document/cons_doc_LAW_51040/f651879e0acd4680a6fdc29f983536624055cbcc/?ysclid=lh7dhcp1aq961991988" TargetMode="External"/><Relationship Id="rId46" Type="http://schemas.openxmlformats.org/officeDocument/2006/relationships/hyperlink" Target="https://nopriz.ru/" TargetMode="External"/><Relationship Id="rId47" Type="http://schemas.openxmlformats.org/officeDocument/2006/relationships/hyperlink" Target="https://www.consultant.ru/document/cons_doc_LAW_51040/b884020ea7453099ba8bc9ca021b84982cadea7d/?ysclid=lh7dkmbcyr186717647" TargetMode="External"/><Relationship Id="rId48" Type="http://schemas.openxmlformats.org/officeDocument/2006/relationships/hyperlink" Target="https://nopriz.ru/" TargetMode="External"/><Relationship Id="rId49" Type="http://schemas.openxmlformats.org/officeDocument/2006/relationships/hyperlink" Target="https://www.consultant.ru/document/cons_doc_LAW_51040/df32b8231cf067c4d4e864c717eb6b398358b504/?ysclid=lh7dmiyi73943741650" TargetMode="External"/><Relationship Id="rId50" Type="http://schemas.openxmlformats.org/officeDocument/2006/relationships/hyperlink" Target="https://nostroy.ru/" TargetMode="External"/><Relationship Id="rId51" Type="http://schemas.openxmlformats.org/officeDocument/2006/relationships/hyperlink" Target="https://service.nalog.ru/vyp/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53" Type="http://schemas.openxmlformats.org/officeDocument/2006/relationships/hyperlink" Target="consultantplus://offline/ref=B7E04B8F5BC345C22463EADCAE81D93CF0C11310A0643D58FEE589F49Ff2C9L" TargetMode="External"/><Relationship Id="rId54" Type="http://schemas.openxmlformats.org/officeDocument/2006/relationships/hyperlink" Target="consultantplus://offline/ref=B7E04B8F5BC345C22463EADCAE81D93CF4CA1215A36F6052F6BC85F6f9C8L" TargetMode="External"/><Relationship Id="rId55" Type="http://schemas.openxmlformats.org/officeDocument/2006/relationships/image" Target="media/image1.png"/><Relationship Id="rId56" Type="http://schemas.openxmlformats.org/officeDocument/2006/relationships/image" Target="media/media1.svg"/><Relationship Id="rId57" Type="http://schemas.openxmlformats.org/officeDocument/2006/relationships/hyperlink" Target="https://rosseti-yantar.ru/about/antikorruptsionnaya-politika/" TargetMode="External"/><Relationship Id="rId58" Type="http://schemas.openxmlformats.org/officeDocument/2006/relationships/hyperlink" Target="http://www.rosseti.ru/about/contacts/opin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://www.cbr.ru/credit/." TargetMode="External"/><Relationship Id="rId2" Type="http://schemas.openxmlformats.org/officeDocument/2006/relationships/hyperlink" Target="https://www.cbr.ru/analytics/strform/." TargetMode="External"/><Relationship Id="rId3" Type="http://schemas.openxmlformats.org/officeDocument/2006/relationships/hyperlink" Target="http://www.asv.org.ru/guide/bank/" TargetMode="External"/><Relationship Id="rId4" Type="http://schemas.openxmlformats.org/officeDocument/2006/relationships/hyperlink" Target="http://www.cbr.ru/credit/." TargetMode="External"/><Relationship Id="rId5" Type="http://schemas.openxmlformats.org/officeDocument/2006/relationships/hyperlink" Target="http://www.cbr.ru/credit/" TargetMode="External"/><Relationship Id="rId6" Type="http://schemas.openxmlformats.org/officeDocument/2006/relationships/hyperlink" Target="http://www.cbr.ru/credit/." TargetMode="External"/><Relationship Id="rId7" Type="http://schemas.openxmlformats.org/officeDocument/2006/relationships/hyperlink" Target="https://www.cbr.ru/analytics/strform/." TargetMode="External"/><Relationship Id="rId8" Type="http://schemas.openxmlformats.org/officeDocument/2006/relationships/hyperlink" Target="http://www.asv.org.ru/guide/bank/" TargetMode="External"/><Relationship Id="rId9" Type="http://schemas.openxmlformats.org/officeDocument/2006/relationships/hyperlink" Target="http://www.cbr.ru/credit/." TargetMode="External"/><Relationship Id="rId10" Type="http://schemas.openxmlformats.org/officeDocument/2006/relationships/hyperlink" Target="http://www.cbr.ru/credit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5DE8A-4B60-45AA-8D30-B705D5BE6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Куманев Валентин Олегович</dc:creator>
  <cp:keywords/>
  <dc:description/>
  <cp:lastModifiedBy>mandel-sv</cp:lastModifiedBy>
  <cp:revision>18</cp:revision>
  <dcterms:created xsi:type="dcterms:W3CDTF">2020-03-31T12:58:00Z</dcterms:created>
  <dcterms:modified xsi:type="dcterms:W3CDTF">2026-06-05T11:21:20Z</dcterms:modified>
</cp:coreProperties>
</file>